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768B1AF1" w:rsidR="00C62E05" w:rsidRPr="00AA73B1" w:rsidRDefault="00C62E05" w:rsidP="009C47F9">
            <w:pPr>
              <w:jc w:val="center"/>
              <w:rPr>
                <w:sz w:val="28"/>
                <w:szCs w:val="28"/>
                <w:lang w:val="vi-VN"/>
              </w:rPr>
            </w:pPr>
            <w:r w:rsidRPr="00A91A16">
              <w:rPr>
                <w:sz w:val="28"/>
                <w:szCs w:val="28"/>
              </w:rPr>
              <w:t xml:space="preserve">KẾT QUẢ SXKD </w:t>
            </w:r>
            <w:r>
              <w:rPr>
                <w:sz w:val="28"/>
                <w:szCs w:val="28"/>
              </w:rPr>
              <w:t>-</w:t>
            </w:r>
            <w:r w:rsidRPr="00A91A16">
              <w:rPr>
                <w:sz w:val="28"/>
                <w:szCs w:val="28"/>
              </w:rPr>
              <w:t xml:space="preserve"> ĐTXD </w:t>
            </w:r>
            <w:r w:rsidR="000B2225">
              <w:rPr>
                <w:sz w:val="28"/>
                <w:szCs w:val="28"/>
              </w:rPr>
              <w:t xml:space="preserve">THÁNG </w:t>
            </w:r>
            <w:r w:rsidR="00AA73B1">
              <w:rPr>
                <w:sz w:val="28"/>
                <w:szCs w:val="28"/>
                <w:lang w:val="vi-VN"/>
              </w:rPr>
              <w:t>5</w:t>
            </w:r>
          </w:p>
          <w:p w14:paraId="2838B377" w14:textId="730901A7" w:rsidR="00C62E05" w:rsidRPr="00341005" w:rsidRDefault="00C62E05" w:rsidP="009C47F9">
            <w:pPr>
              <w:jc w:val="center"/>
              <w:rPr>
                <w:sz w:val="26"/>
                <w:szCs w:val="26"/>
                <w:lang w:val="vi-VN"/>
              </w:rPr>
            </w:pPr>
            <w:r w:rsidRPr="00A91A16">
              <w:rPr>
                <w:sz w:val="28"/>
                <w:szCs w:val="28"/>
              </w:rPr>
              <w:t>VÀ KẾ HOẠCH</w:t>
            </w:r>
            <w:r>
              <w:rPr>
                <w:sz w:val="28"/>
                <w:szCs w:val="28"/>
              </w:rPr>
              <w:t xml:space="preserve"> </w:t>
            </w:r>
            <w:r w:rsidR="000B2225">
              <w:rPr>
                <w:sz w:val="28"/>
                <w:szCs w:val="28"/>
              </w:rPr>
              <w:t xml:space="preserve">THÁNG </w:t>
            </w:r>
            <w:r w:rsidR="00AA73B1">
              <w:rPr>
                <w:sz w:val="28"/>
                <w:szCs w:val="28"/>
                <w:lang w:val="vi-VN"/>
              </w:rPr>
              <w:t>6</w:t>
            </w:r>
            <w:r>
              <w:rPr>
                <w:sz w:val="28"/>
                <w:szCs w:val="28"/>
              </w:rPr>
              <w:t xml:space="preserve"> NĂM 202</w:t>
            </w:r>
            <w:r w:rsidR="00341005">
              <w:rPr>
                <w:sz w:val="28"/>
                <w:szCs w:val="28"/>
                <w:lang w:val="vi-VN"/>
              </w:rPr>
              <w:t>2</w:t>
            </w:r>
          </w:p>
        </w:tc>
      </w:tr>
    </w:tbl>
    <w:p w14:paraId="7D14CDA9" w14:textId="505B7A3E" w:rsidR="00C62E05" w:rsidRPr="00341005" w:rsidRDefault="00C62E05" w:rsidP="002C1216">
      <w:pPr>
        <w:pStyle w:val="NormalWeb"/>
        <w:spacing w:before="240" w:beforeAutospacing="0" w:after="80" w:afterAutospacing="0" w:line="276" w:lineRule="auto"/>
        <w:ind w:firstLine="720"/>
        <w:jc w:val="both"/>
        <w:rPr>
          <w:sz w:val="28"/>
          <w:szCs w:val="28"/>
          <w:lang w:val="vi-VN"/>
        </w:rPr>
      </w:pPr>
      <w:r w:rsidRPr="00AB15D6">
        <w:rPr>
          <w:rStyle w:val="Strong"/>
          <w:sz w:val="28"/>
          <w:szCs w:val="28"/>
        </w:rPr>
        <w:t xml:space="preserve">Kết quả SXKD &amp; ĐTXD </w:t>
      </w:r>
      <w:r w:rsidR="00087D88">
        <w:rPr>
          <w:rStyle w:val="Strong"/>
          <w:sz w:val="28"/>
          <w:szCs w:val="28"/>
        </w:rPr>
        <w:t xml:space="preserve">tháng </w:t>
      </w:r>
      <w:r w:rsidR="00AA73B1">
        <w:rPr>
          <w:rStyle w:val="Strong"/>
          <w:sz w:val="28"/>
          <w:szCs w:val="28"/>
          <w:lang w:val="vi-VN"/>
        </w:rPr>
        <w:t>5</w:t>
      </w:r>
      <w:r w:rsidR="00341005">
        <w:rPr>
          <w:rStyle w:val="Strong"/>
          <w:sz w:val="28"/>
          <w:szCs w:val="28"/>
          <w:lang w:val="vi-VN"/>
        </w:rPr>
        <w:t xml:space="preserve"> năm</w:t>
      </w:r>
      <w:r w:rsidR="006C7286">
        <w:rPr>
          <w:rStyle w:val="Strong"/>
          <w:sz w:val="28"/>
          <w:szCs w:val="28"/>
        </w:rPr>
        <w:t xml:space="preserve"> </w:t>
      </w:r>
      <w:r w:rsidR="004E02CF" w:rsidRPr="00AB15D6">
        <w:rPr>
          <w:rStyle w:val="Strong"/>
          <w:sz w:val="28"/>
          <w:szCs w:val="28"/>
        </w:rPr>
        <w:t>202</w:t>
      </w:r>
      <w:r w:rsidR="00341005">
        <w:rPr>
          <w:rStyle w:val="Strong"/>
          <w:sz w:val="28"/>
          <w:szCs w:val="28"/>
          <w:lang w:val="vi-VN"/>
        </w:rPr>
        <w:t>2</w:t>
      </w:r>
    </w:p>
    <w:p w14:paraId="68DBC838" w14:textId="6BD36261" w:rsidR="002B3F13" w:rsidRDefault="0093577C" w:rsidP="002C1216">
      <w:pPr>
        <w:pStyle w:val="normal1"/>
        <w:spacing w:line="276" w:lineRule="auto"/>
        <w:ind w:firstLine="709"/>
        <w:rPr>
          <w:lang w:val="vi-VN"/>
        </w:rPr>
      </w:pPr>
      <w:r>
        <w:rPr>
          <w:lang w:val="vi-VN"/>
        </w:rPr>
        <w:t>Tháng 5/</w:t>
      </w:r>
      <w:r w:rsidR="00DD63D6">
        <w:rPr>
          <w:lang w:val="vi-VN"/>
        </w:rPr>
        <w:t>2</w:t>
      </w:r>
      <w:r w:rsidR="00193EB2" w:rsidRPr="00AB15D6">
        <w:t>02</w:t>
      </w:r>
      <w:r w:rsidR="00341005">
        <w:rPr>
          <w:lang w:val="vi-VN"/>
        </w:rPr>
        <w:t>2</w:t>
      </w:r>
      <w:r w:rsidR="00193EB2" w:rsidRPr="00AB15D6">
        <w:t xml:space="preserve">, </w:t>
      </w:r>
      <w:r w:rsidR="00DC74EA">
        <w:rPr>
          <w:lang w:val="en-US"/>
        </w:rPr>
        <w:t xml:space="preserve">tần suất nước về các hồ </w:t>
      </w:r>
      <w:r w:rsidR="001D3A83">
        <w:rPr>
          <w:lang w:val="en-US"/>
        </w:rPr>
        <w:t>thủy điện</w:t>
      </w:r>
      <w:r w:rsidR="00DC74EA">
        <w:rPr>
          <w:lang w:val="en-US"/>
        </w:rPr>
        <w:t xml:space="preserve"> của </w:t>
      </w:r>
      <w:r w:rsidR="00EC2ACA" w:rsidRPr="00AB15D6">
        <w:t>EVN</w:t>
      </w:r>
      <w:r w:rsidR="00EC2ACA" w:rsidRPr="00AB15D6">
        <w:rPr>
          <w:i/>
          <w:iCs/>
        </w:rPr>
        <w:t>GENCO1</w:t>
      </w:r>
      <w:r w:rsidR="00EC2ACA">
        <w:rPr>
          <w:i/>
          <w:iCs/>
        </w:rPr>
        <w:t xml:space="preserve"> </w:t>
      </w:r>
      <w:r w:rsidR="001D3A83">
        <w:rPr>
          <w:lang w:val="en-US"/>
        </w:rPr>
        <w:t>tiếp tục diễn biến tốt</w:t>
      </w:r>
      <w:r w:rsidR="00EC2ACA">
        <w:rPr>
          <w:lang w:val="en-US"/>
        </w:rPr>
        <w:t xml:space="preserve">. </w:t>
      </w:r>
      <w:r w:rsidR="000641A4">
        <w:rPr>
          <w:lang w:val="vi-VN"/>
        </w:rPr>
        <w:t>C</w:t>
      </w:r>
      <w:r w:rsidR="006D20F0">
        <w:rPr>
          <w:lang w:val="en-US"/>
        </w:rPr>
        <w:t xml:space="preserve">ông tác bảo dưỡng sửa chữa </w:t>
      </w:r>
      <w:r w:rsidR="000641A4">
        <w:rPr>
          <w:lang w:val="en-US"/>
        </w:rPr>
        <w:t>về</w:t>
      </w:r>
      <w:r w:rsidR="000641A4">
        <w:rPr>
          <w:lang w:val="vi-VN"/>
        </w:rPr>
        <w:t xml:space="preserve"> cơ bản </w:t>
      </w:r>
      <w:r w:rsidR="006D20F0">
        <w:rPr>
          <w:lang w:val="en-US"/>
        </w:rPr>
        <w:t>đảm bảo chất lượng</w:t>
      </w:r>
      <w:r w:rsidR="00EC2ACA">
        <w:rPr>
          <w:lang w:val="en-US"/>
        </w:rPr>
        <w:t xml:space="preserve"> và </w:t>
      </w:r>
      <w:r w:rsidR="006D20F0">
        <w:rPr>
          <w:lang w:val="en-US"/>
        </w:rPr>
        <w:t>tiến độ được phê duyệt</w:t>
      </w:r>
      <w:r w:rsidR="00EC2ACA">
        <w:rPr>
          <w:lang w:val="en-US"/>
        </w:rPr>
        <w:t xml:space="preserve">. </w:t>
      </w:r>
      <w:r w:rsidR="000641A4">
        <w:rPr>
          <w:lang w:val="en-US"/>
        </w:rPr>
        <w:t>Tuy</w:t>
      </w:r>
      <w:r w:rsidR="000641A4">
        <w:rPr>
          <w:lang w:val="vi-VN"/>
        </w:rPr>
        <w:t xml:space="preserve"> nhiên, phụ tải trung bình ngày của tháng 5 giảm so với cùng kỳ năm 2021 và kế hoạch năm 2022 của Bộ Công thương. </w:t>
      </w:r>
      <w:r w:rsidR="001779E3" w:rsidRPr="00AB15D6">
        <w:t>T</w:t>
      </w:r>
      <w:r w:rsidR="003A13F9" w:rsidRPr="00AB15D6">
        <w:t>ổng sản lượng điện EVN</w:t>
      </w:r>
      <w:r w:rsidR="003A13F9" w:rsidRPr="00AB15D6">
        <w:rPr>
          <w:i/>
          <w:iCs/>
        </w:rPr>
        <w:t>GENCO1</w:t>
      </w:r>
      <w:r w:rsidR="003A13F9" w:rsidRPr="00AB15D6">
        <w:t xml:space="preserve"> sản xuất được</w:t>
      </w:r>
      <w:r w:rsidR="00C82773" w:rsidRPr="00AB15D6">
        <w:t xml:space="preserve"> trong </w:t>
      </w:r>
      <w:r w:rsidR="00E74D85">
        <w:t xml:space="preserve">tháng </w:t>
      </w:r>
      <w:r w:rsidR="000641A4">
        <w:rPr>
          <w:lang w:val="vi-VN"/>
        </w:rPr>
        <w:t>5</w:t>
      </w:r>
      <w:r w:rsidR="00E74D85">
        <w:t>/</w:t>
      </w:r>
      <w:r w:rsidR="00100847" w:rsidRPr="00AB15D6">
        <w:t>202</w:t>
      </w:r>
      <w:r w:rsidR="00A56660">
        <w:rPr>
          <w:lang w:val="vi-VN"/>
        </w:rPr>
        <w:t>2</w:t>
      </w:r>
      <w:r w:rsidR="003A13F9" w:rsidRPr="00AB15D6">
        <w:t xml:space="preserve"> là </w:t>
      </w:r>
      <w:r w:rsidR="001D3A83">
        <w:rPr>
          <w:bCs/>
          <w:lang w:val="en-US"/>
        </w:rPr>
        <w:t>2.7</w:t>
      </w:r>
      <w:r w:rsidR="000641A4">
        <w:rPr>
          <w:bCs/>
          <w:lang w:val="vi-VN"/>
        </w:rPr>
        <w:t>06</w:t>
      </w:r>
      <w:r w:rsidR="00292E4D" w:rsidRPr="000E3A41">
        <w:rPr>
          <w:bCs/>
        </w:rPr>
        <w:t xml:space="preserve"> triệu kWh</w:t>
      </w:r>
      <w:r w:rsidR="003F7044">
        <w:rPr>
          <w:bCs/>
        </w:rPr>
        <w:t xml:space="preserve">, </w:t>
      </w:r>
      <w:r w:rsidR="00A64B23">
        <w:rPr>
          <w:bCs/>
        </w:rPr>
        <w:t>l</w:t>
      </w:r>
      <w:r w:rsidR="00F87F09">
        <w:rPr>
          <w:lang w:val="vi-VN"/>
        </w:rPr>
        <w:t>u</w:t>
      </w:r>
      <w:r w:rsidR="00837F84" w:rsidRPr="00AB15D6">
        <w:rPr>
          <w:lang w:val="vi-VN"/>
        </w:rPr>
        <w:t xml:space="preserve">ỹ kế </w:t>
      </w:r>
      <w:r w:rsidR="00A64B23">
        <w:rPr>
          <w:lang w:val="en-US"/>
        </w:rPr>
        <w:t>0</w:t>
      </w:r>
      <w:r w:rsidR="00B341E2">
        <w:rPr>
          <w:lang w:val="vi-VN"/>
        </w:rPr>
        <w:t>5</w:t>
      </w:r>
      <w:r w:rsidR="00837F84" w:rsidRPr="00AB15D6">
        <w:rPr>
          <w:lang w:val="vi-VN"/>
        </w:rPr>
        <w:t xml:space="preserve"> tháng đầu năm 202</w:t>
      </w:r>
      <w:r w:rsidR="009F6EDB">
        <w:rPr>
          <w:lang w:val="vi-VN"/>
        </w:rPr>
        <w:t>2</w:t>
      </w:r>
      <w:r w:rsidR="00837F84" w:rsidRPr="00AB15D6">
        <w:rPr>
          <w:lang w:val="vi-VN"/>
        </w:rPr>
        <w:t>, tổng sản lượng điện EVN</w:t>
      </w:r>
      <w:r w:rsidR="00837F84" w:rsidRPr="00AB15D6">
        <w:rPr>
          <w:i/>
          <w:iCs/>
          <w:lang w:val="vi-VN"/>
        </w:rPr>
        <w:t>GENCO1</w:t>
      </w:r>
      <w:r w:rsidR="00837F84" w:rsidRPr="00AB15D6">
        <w:rPr>
          <w:lang w:val="vi-VN"/>
        </w:rPr>
        <w:t xml:space="preserve"> sản xuất </w:t>
      </w:r>
      <w:r w:rsidR="007E3870" w:rsidRPr="00AB15D6">
        <w:rPr>
          <w:lang w:val="vi-VN"/>
        </w:rPr>
        <w:t xml:space="preserve">được </w:t>
      </w:r>
      <w:r w:rsidR="00837F84" w:rsidRPr="00AB15D6">
        <w:rPr>
          <w:lang w:val="vi-VN"/>
        </w:rPr>
        <w:t xml:space="preserve">là </w:t>
      </w:r>
      <w:r w:rsidR="00A64B23" w:rsidRPr="00A64B23">
        <w:rPr>
          <w:lang w:val="en-US"/>
        </w:rPr>
        <w:t>1</w:t>
      </w:r>
      <w:r w:rsidR="00B341E2">
        <w:rPr>
          <w:lang w:val="vi-VN"/>
        </w:rPr>
        <w:t>3.203</w:t>
      </w:r>
      <w:r w:rsidR="00837F84" w:rsidRPr="00A64B23">
        <w:rPr>
          <w:lang w:val="vi-VN"/>
        </w:rPr>
        <w:t xml:space="preserve"> tri</w:t>
      </w:r>
      <w:r w:rsidR="007E3870" w:rsidRPr="00A64B23">
        <w:rPr>
          <w:lang w:val="vi-VN"/>
        </w:rPr>
        <w:t>ệ</w:t>
      </w:r>
      <w:r w:rsidR="00837F84" w:rsidRPr="00A64B23">
        <w:rPr>
          <w:lang w:val="vi-VN"/>
        </w:rPr>
        <w:t>u kWh</w:t>
      </w:r>
      <w:r w:rsidR="00837F84" w:rsidRPr="00AB15D6">
        <w:rPr>
          <w:lang w:val="vi-VN"/>
        </w:rPr>
        <w:t xml:space="preserve">, đạt </w:t>
      </w:r>
      <w:r w:rsidR="00B341E2">
        <w:rPr>
          <w:lang w:val="vi-VN"/>
        </w:rPr>
        <w:t>43</w:t>
      </w:r>
      <w:r w:rsidR="00A64B23">
        <w:rPr>
          <w:lang w:val="en-US"/>
        </w:rPr>
        <w:t>,9</w:t>
      </w:r>
      <w:r w:rsidR="00837F84" w:rsidRPr="00AB15D6">
        <w:rPr>
          <w:lang w:val="vi-VN"/>
        </w:rPr>
        <w:t>% kế hoạch</w:t>
      </w:r>
      <w:r w:rsidR="00CC4BFE">
        <w:rPr>
          <w:lang w:val="vi-VN"/>
        </w:rPr>
        <w:t xml:space="preserve"> được giao</w:t>
      </w:r>
      <w:r w:rsidR="00837F84" w:rsidRPr="00AB15D6">
        <w:rPr>
          <w:lang w:val="vi-VN"/>
        </w:rPr>
        <w:t xml:space="preserve"> nă</w:t>
      </w:r>
      <w:r w:rsidR="00F87F09">
        <w:rPr>
          <w:lang w:val="vi-VN"/>
        </w:rPr>
        <w:t>m</w:t>
      </w:r>
      <w:r w:rsidR="00E74D85">
        <w:rPr>
          <w:lang w:val="en-US"/>
        </w:rPr>
        <w:t xml:space="preserve"> 2022</w:t>
      </w:r>
      <w:r w:rsidR="00837F84" w:rsidRPr="00AB15D6">
        <w:rPr>
          <w:lang w:val="vi-VN"/>
        </w:rPr>
        <w:t>.</w:t>
      </w:r>
      <w:r w:rsidR="002B3F13">
        <w:rPr>
          <w:lang w:val="en-US"/>
        </w:rPr>
        <w:t xml:space="preserve"> </w:t>
      </w:r>
      <w:r w:rsidR="00C436C2">
        <w:rPr>
          <w:lang w:val="en-US"/>
        </w:rPr>
        <w:t xml:space="preserve">Trong đó, </w:t>
      </w:r>
      <w:r w:rsidR="003F7988">
        <w:rPr>
          <w:lang w:val="en-US"/>
        </w:rPr>
        <w:t>khối</w:t>
      </w:r>
      <w:r w:rsidR="00B341E2">
        <w:rPr>
          <w:lang w:val="vi-VN"/>
        </w:rPr>
        <w:t xml:space="preserve"> thuỷ điện vượt kế hoạch sản lượng điện được giao</w:t>
      </w:r>
      <w:r w:rsidR="0020612E">
        <w:rPr>
          <w:lang w:val="vi-VN"/>
        </w:rPr>
        <w:t xml:space="preserve"> trong tháng 5</w:t>
      </w:r>
      <w:r w:rsidR="00B341E2">
        <w:rPr>
          <w:lang w:val="vi-VN"/>
        </w:rPr>
        <w:t xml:space="preserve">, lần lượt đạt </w:t>
      </w:r>
      <w:r w:rsidR="003F7988">
        <w:rPr>
          <w:lang w:val="vi-VN"/>
        </w:rPr>
        <w:t>124,2% (đối với các đơn vị hạch toán phụ thuộc) và 131,5% (đối với các công ty con và công ty liên kết).</w:t>
      </w:r>
    </w:p>
    <w:p w14:paraId="277203E6" w14:textId="2A0C2A80" w:rsidR="00CC4BFE" w:rsidRPr="00471F7B" w:rsidRDefault="00471F7B" w:rsidP="002C1216">
      <w:pPr>
        <w:pStyle w:val="normal1"/>
        <w:spacing w:line="276" w:lineRule="auto"/>
        <w:ind w:firstLine="709"/>
        <w:rPr>
          <w:lang w:val="vi-VN"/>
        </w:rPr>
      </w:pPr>
      <w:r>
        <w:rPr>
          <w:lang w:val="vi-VN"/>
        </w:rPr>
        <w:t xml:space="preserve">Công tác cung ứng than được </w:t>
      </w:r>
      <w:r w:rsidRPr="00B31912">
        <w:t>EVN</w:t>
      </w:r>
      <w:r w:rsidRPr="00B31912">
        <w:rPr>
          <w:i/>
          <w:iCs/>
        </w:rPr>
        <w:t>GENCO1</w:t>
      </w:r>
      <w:r>
        <w:rPr>
          <w:i/>
          <w:iCs/>
          <w:lang w:val="vi-VN"/>
        </w:rPr>
        <w:t xml:space="preserve"> </w:t>
      </w:r>
      <w:r w:rsidRPr="00471F7B">
        <w:rPr>
          <w:lang w:val="vi-VN"/>
        </w:rPr>
        <w:t>nỗ lự</w:t>
      </w:r>
      <w:r>
        <w:rPr>
          <w:lang w:val="vi-VN"/>
        </w:rPr>
        <w:t xml:space="preserve">c triển khai toàn diện các giải pháp để đảm bảo đủ than cho sản xuất điện. Nhờ vậy, các </w:t>
      </w:r>
      <w:r w:rsidR="00247C38">
        <w:rPr>
          <w:lang w:val="vi-VN"/>
        </w:rPr>
        <w:t>N</w:t>
      </w:r>
      <w:r>
        <w:rPr>
          <w:lang w:val="vi-VN"/>
        </w:rPr>
        <w:t xml:space="preserve">hà máy </w:t>
      </w:r>
      <w:r w:rsidR="00247C38">
        <w:rPr>
          <w:lang w:val="vi-VN"/>
        </w:rPr>
        <w:t>N</w:t>
      </w:r>
      <w:r>
        <w:rPr>
          <w:lang w:val="vi-VN"/>
        </w:rPr>
        <w:t>hiệt điện Uông Bí, Nghi Sơn 1 và Quảng Ninh đã đáp ứng đủ than cho nhu cầu vận hành theo yêu cầu của hệ thống và duy trì than tồn kho cao hơn định mức tối thiểu</w:t>
      </w:r>
      <w:r w:rsidR="00247C38">
        <w:rPr>
          <w:lang w:val="vi-VN"/>
        </w:rPr>
        <w:t xml:space="preserve">; </w:t>
      </w:r>
      <w:r w:rsidR="00DF69B9">
        <w:rPr>
          <w:lang w:val="vi-VN"/>
        </w:rPr>
        <w:t>Nhà máy Nhiệt điện Duyên Hải 1</w:t>
      </w:r>
      <w:r w:rsidR="004719BA">
        <w:rPr>
          <w:lang w:val="vi-VN"/>
        </w:rPr>
        <w:t>,</w:t>
      </w:r>
      <w:r w:rsidR="00967AA0">
        <w:rPr>
          <w:lang w:val="vi-VN"/>
        </w:rPr>
        <w:t xml:space="preserve"> Duyên Hải 3</w:t>
      </w:r>
      <w:r w:rsidR="004719BA">
        <w:rPr>
          <w:lang w:val="vi-VN"/>
        </w:rPr>
        <w:t xml:space="preserve"> và Duyên Hải 3 mở rộng</w:t>
      </w:r>
      <w:r w:rsidR="00150437">
        <w:rPr>
          <w:lang w:val="vi-VN"/>
        </w:rPr>
        <w:t xml:space="preserve"> cũng được cải thiện đáng kể</w:t>
      </w:r>
      <w:r w:rsidR="00967AA0">
        <w:rPr>
          <w:lang w:val="vi-VN"/>
        </w:rPr>
        <w:t xml:space="preserve"> và</w:t>
      </w:r>
      <w:r w:rsidR="00150437">
        <w:rPr>
          <w:lang w:val="vi-VN"/>
        </w:rPr>
        <w:t xml:space="preserve"> dự kiến </w:t>
      </w:r>
      <w:r w:rsidR="00967AA0">
        <w:rPr>
          <w:lang w:val="vi-VN"/>
        </w:rPr>
        <w:t xml:space="preserve">đến cuối tháng 6 </w:t>
      </w:r>
      <w:r w:rsidR="00150437">
        <w:rPr>
          <w:lang w:val="vi-VN"/>
        </w:rPr>
        <w:t>sẽ đ</w:t>
      </w:r>
      <w:r w:rsidR="00E41BE2">
        <w:rPr>
          <w:lang w:val="vi-VN"/>
        </w:rPr>
        <w:t>ạt</w:t>
      </w:r>
      <w:r w:rsidR="00150437">
        <w:rPr>
          <w:lang w:val="vi-VN"/>
        </w:rPr>
        <w:t xml:space="preserve"> </w:t>
      </w:r>
      <w:r w:rsidR="00967AA0">
        <w:rPr>
          <w:lang w:val="vi-VN"/>
        </w:rPr>
        <w:t xml:space="preserve">mức tồn kho tối ưu theo chỉ đạo của </w:t>
      </w:r>
      <w:r w:rsidR="00E07F07">
        <w:rPr>
          <w:noProof/>
        </w:rPr>
        <w:t>Tập đoàn Điện lực Việt Nam</w:t>
      </w:r>
      <w:r w:rsidR="00150437">
        <w:rPr>
          <w:lang w:val="vi-VN"/>
        </w:rPr>
        <w:t>.</w:t>
      </w:r>
    </w:p>
    <w:p w14:paraId="03F3030F" w14:textId="17813D17" w:rsidR="00CC6F0F" w:rsidRPr="00CC6F0F" w:rsidRDefault="00BD7F1A" w:rsidP="002C1216">
      <w:pPr>
        <w:spacing w:line="276" w:lineRule="auto"/>
        <w:ind w:right="44" w:firstLine="720"/>
        <w:jc w:val="both"/>
        <w:rPr>
          <w:sz w:val="28"/>
          <w:szCs w:val="28"/>
        </w:rPr>
      </w:pPr>
      <w:r w:rsidRPr="00227EFE">
        <w:rPr>
          <w:sz w:val="28"/>
          <w:szCs w:val="28"/>
        </w:rPr>
        <w:t xml:space="preserve">Về </w:t>
      </w:r>
      <w:r w:rsidR="00EC712A">
        <w:rPr>
          <w:sz w:val="28"/>
          <w:szCs w:val="28"/>
        </w:rPr>
        <w:t>đầu tư xây dựng (ĐTXD)</w:t>
      </w:r>
      <w:r w:rsidRPr="00227EFE">
        <w:rPr>
          <w:sz w:val="28"/>
          <w:szCs w:val="28"/>
        </w:rPr>
        <w:t xml:space="preserve">, </w:t>
      </w:r>
      <w:r w:rsidR="00CC6F0F">
        <w:rPr>
          <w:sz w:val="28"/>
          <w:szCs w:val="28"/>
        </w:rPr>
        <w:t>các dự án ĐTXD đang được Tổng công ty triển khai theo tiến độ được giao</w:t>
      </w:r>
      <w:r w:rsidR="00CC6F0F" w:rsidRPr="00227EFE">
        <w:rPr>
          <w:sz w:val="28"/>
          <w:szCs w:val="28"/>
          <w:lang w:val="vi-VN"/>
        </w:rPr>
        <w:t xml:space="preserve">. Công tác quyết toán </w:t>
      </w:r>
      <w:r w:rsidR="00B31912">
        <w:rPr>
          <w:sz w:val="28"/>
          <w:szCs w:val="28"/>
        </w:rPr>
        <w:t>cơ bản</w:t>
      </w:r>
      <w:r w:rsidR="00CC6F0F" w:rsidRPr="00227EFE">
        <w:rPr>
          <w:sz w:val="28"/>
          <w:szCs w:val="28"/>
          <w:lang w:val="vi-VN"/>
        </w:rPr>
        <w:t xml:space="preserve"> đáp ứng </w:t>
      </w:r>
      <w:r w:rsidR="00CC6F0F">
        <w:rPr>
          <w:sz w:val="28"/>
          <w:szCs w:val="28"/>
        </w:rPr>
        <w:t>yêu cầu</w:t>
      </w:r>
      <w:r w:rsidR="00CC6F0F" w:rsidRPr="00227EFE">
        <w:rPr>
          <w:sz w:val="28"/>
          <w:szCs w:val="28"/>
          <w:lang w:val="vi-VN"/>
        </w:rPr>
        <w:t xml:space="preserve"> đề ra.</w:t>
      </w:r>
      <w:r w:rsidR="00CC6F0F">
        <w:rPr>
          <w:sz w:val="28"/>
          <w:szCs w:val="28"/>
        </w:rPr>
        <w:t xml:space="preserve"> Tính đến hết tháng </w:t>
      </w:r>
      <w:r w:rsidR="000F5141">
        <w:rPr>
          <w:sz w:val="28"/>
          <w:szCs w:val="28"/>
          <w:lang w:val="vi-VN"/>
        </w:rPr>
        <w:t>5</w:t>
      </w:r>
      <w:r w:rsidR="00CC6F0F">
        <w:rPr>
          <w:sz w:val="28"/>
          <w:szCs w:val="28"/>
        </w:rPr>
        <w:t>,</w:t>
      </w:r>
      <w:r w:rsidR="00CC6F0F" w:rsidRPr="00227EFE">
        <w:rPr>
          <w:sz w:val="28"/>
          <w:szCs w:val="28"/>
        </w:rPr>
        <w:t xml:space="preserve"> khối lượng thực hiện</w:t>
      </w:r>
      <w:r w:rsidR="00B31912">
        <w:rPr>
          <w:sz w:val="28"/>
          <w:szCs w:val="28"/>
        </w:rPr>
        <w:t xml:space="preserve"> ĐTXD của </w:t>
      </w:r>
      <w:r w:rsidR="00B31912" w:rsidRPr="00B31912">
        <w:rPr>
          <w:sz w:val="28"/>
          <w:szCs w:val="28"/>
        </w:rPr>
        <w:t>EVN</w:t>
      </w:r>
      <w:r w:rsidR="00B31912" w:rsidRPr="00B31912">
        <w:rPr>
          <w:i/>
          <w:iCs/>
          <w:sz w:val="28"/>
          <w:szCs w:val="28"/>
        </w:rPr>
        <w:t>GENCO1</w:t>
      </w:r>
      <w:r w:rsidR="00CC6F0F" w:rsidRPr="00227EFE">
        <w:rPr>
          <w:sz w:val="28"/>
          <w:szCs w:val="28"/>
        </w:rPr>
        <w:t xml:space="preserve"> </w:t>
      </w:r>
      <w:r w:rsidR="00CC6F0F">
        <w:rPr>
          <w:sz w:val="28"/>
          <w:szCs w:val="28"/>
        </w:rPr>
        <w:t xml:space="preserve">đạt </w:t>
      </w:r>
      <w:r w:rsidR="000F5141">
        <w:rPr>
          <w:sz w:val="28"/>
          <w:szCs w:val="28"/>
          <w:lang w:val="vi-VN"/>
        </w:rPr>
        <w:t>41,2</w:t>
      </w:r>
      <w:r w:rsidR="00CC6F0F">
        <w:rPr>
          <w:sz w:val="28"/>
          <w:szCs w:val="28"/>
        </w:rPr>
        <w:t>%</w:t>
      </w:r>
      <w:r w:rsidR="00CC6F0F" w:rsidRPr="00227EFE">
        <w:rPr>
          <w:sz w:val="28"/>
          <w:szCs w:val="28"/>
        </w:rPr>
        <w:t xml:space="preserve"> và giá trị </w:t>
      </w:r>
      <w:r w:rsidR="00CC6F0F">
        <w:rPr>
          <w:sz w:val="28"/>
          <w:szCs w:val="28"/>
        </w:rPr>
        <w:t>giải</w:t>
      </w:r>
      <w:r w:rsidR="00CC6F0F">
        <w:rPr>
          <w:sz w:val="28"/>
          <w:szCs w:val="28"/>
          <w:lang w:val="vi-VN"/>
        </w:rPr>
        <w:t xml:space="preserve"> ngân</w:t>
      </w:r>
      <w:r w:rsidR="00CC6F0F" w:rsidRPr="00227EFE">
        <w:rPr>
          <w:sz w:val="28"/>
          <w:szCs w:val="28"/>
        </w:rPr>
        <w:t xml:space="preserve"> đạt </w:t>
      </w:r>
      <w:r w:rsidR="000F5141">
        <w:rPr>
          <w:sz w:val="28"/>
          <w:szCs w:val="28"/>
          <w:lang w:val="vi-VN"/>
        </w:rPr>
        <w:t>4</w:t>
      </w:r>
      <w:r w:rsidR="00CC6F0F">
        <w:rPr>
          <w:sz w:val="28"/>
          <w:szCs w:val="28"/>
        </w:rPr>
        <w:t>2% kế hoạch năm 2022</w:t>
      </w:r>
      <w:r w:rsidR="00CC6F0F">
        <w:rPr>
          <w:sz w:val="28"/>
          <w:szCs w:val="28"/>
          <w:lang w:val="vi-VN"/>
        </w:rPr>
        <w:t xml:space="preserve"> </w:t>
      </w:r>
      <w:r w:rsidR="00CC6F0F">
        <w:rPr>
          <w:sz w:val="28"/>
          <w:szCs w:val="28"/>
        </w:rPr>
        <w:t xml:space="preserve">(bao gồm </w:t>
      </w:r>
      <w:r w:rsidR="00CC6F0F">
        <w:rPr>
          <w:sz w:val="28"/>
          <w:szCs w:val="28"/>
          <w:lang w:val="vi-VN"/>
        </w:rPr>
        <w:t>giải ngân cho khối lượng thực hiện của năm trước)</w:t>
      </w:r>
      <w:r w:rsidR="00CC6F0F" w:rsidRPr="00227EFE">
        <w:rPr>
          <w:sz w:val="28"/>
          <w:szCs w:val="28"/>
        </w:rPr>
        <w:t>.</w:t>
      </w:r>
    </w:p>
    <w:p w14:paraId="511C51EA" w14:textId="42FB2148" w:rsidR="00E07F07" w:rsidRDefault="00394158" w:rsidP="00E07F07">
      <w:pPr>
        <w:spacing w:line="276" w:lineRule="auto"/>
        <w:ind w:right="44" w:firstLine="720"/>
        <w:jc w:val="both"/>
        <w:rPr>
          <w:noProof/>
          <w:sz w:val="28"/>
          <w:szCs w:val="28"/>
          <w:lang w:val="vi-VN"/>
        </w:rPr>
      </w:pPr>
      <w:r>
        <w:rPr>
          <w:noProof/>
          <w:sz w:val="28"/>
          <w:szCs w:val="28"/>
          <w:lang w:val="vi-VN"/>
        </w:rPr>
        <w:t>Các nhiệm vụ về</w:t>
      </w:r>
      <w:r w:rsidR="00EB219D">
        <w:rPr>
          <w:noProof/>
          <w:sz w:val="28"/>
          <w:szCs w:val="28"/>
          <w:lang w:val="vi-VN"/>
        </w:rPr>
        <w:t xml:space="preserve"> chuyển đổi số</w:t>
      </w:r>
      <w:r>
        <w:rPr>
          <w:noProof/>
          <w:sz w:val="28"/>
          <w:szCs w:val="28"/>
          <w:lang w:val="vi-VN"/>
        </w:rPr>
        <w:t xml:space="preserve"> tiếp tục được</w:t>
      </w:r>
      <w:r w:rsidR="00EB219D">
        <w:rPr>
          <w:noProof/>
          <w:sz w:val="28"/>
          <w:szCs w:val="28"/>
          <w:lang w:val="vi-VN"/>
        </w:rPr>
        <w:t xml:space="preserve"> EVN</w:t>
      </w:r>
      <w:r w:rsidR="00EB219D" w:rsidRPr="00EB219D">
        <w:rPr>
          <w:i/>
          <w:iCs/>
          <w:noProof/>
          <w:sz w:val="28"/>
          <w:szCs w:val="28"/>
          <w:lang w:val="vi-VN"/>
        </w:rPr>
        <w:t>GENCO1</w:t>
      </w:r>
      <w:r w:rsidR="00EB219D">
        <w:rPr>
          <w:noProof/>
          <w:sz w:val="28"/>
          <w:szCs w:val="28"/>
          <w:lang w:val="vi-VN"/>
        </w:rPr>
        <w:t xml:space="preserve"> </w:t>
      </w:r>
      <w:r>
        <w:rPr>
          <w:noProof/>
          <w:sz w:val="28"/>
          <w:szCs w:val="28"/>
          <w:lang w:val="vi-VN"/>
        </w:rPr>
        <w:t xml:space="preserve">triển khai theo kế hoạch, trọng tâm là </w:t>
      </w:r>
      <w:r w:rsidR="00856296">
        <w:rPr>
          <w:noProof/>
          <w:sz w:val="28"/>
          <w:szCs w:val="28"/>
          <w:lang w:val="vi-VN"/>
        </w:rPr>
        <w:t>L</w:t>
      </w:r>
      <w:r w:rsidR="00414218">
        <w:rPr>
          <w:noProof/>
          <w:sz w:val="28"/>
          <w:szCs w:val="28"/>
          <w:lang w:val="vi-VN"/>
        </w:rPr>
        <w:t>ộ trình chuyển đổi số, lộ trình hiện đại hoá hạ tầng công nghệ thông tin, bảo mật IT, OT giai đoạn 2022 – 2025, định hướng đến năm 2030</w:t>
      </w:r>
      <w:r>
        <w:rPr>
          <w:noProof/>
          <w:sz w:val="28"/>
          <w:szCs w:val="28"/>
          <w:lang w:val="vi-VN"/>
        </w:rPr>
        <w:t xml:space="preserve"> và Đề án trang bị hạ tầng công nghệ thông tin phục vụ chuyển đổi số tại Cơ quan Tổng công ty. </w:t>
      </w:r>
      <w:r w:rsidR="00E07F07" w:rsidRPr="00E07F07">
        <w:rPr>
          <w:noProof/>
          <w:sz w:val="28"/>
          <w:szCs w:val="28"/>
          <w:lang w:val="vi-VN"/>
        </w:rPr>
        <w:t>EVN</w:t>
      </w:r>
      <w:r w:rsidR="00E07F07" w:rsidRPr="00E07F07">
        <w:rPr>
          <w:i/>
          <w:iCs/>
          <w:noProof/>
          <w:sz w:val="28"/>
          <w:szCs w:val="28"/>
          <w:lang w:val="vi-VN"/>
        </w:rPr>
        <w:t>GENCO1</w:t>
      </w:r>
      <w:r w:rsidR="00E07F07" w:rsidRPr="00E07F07">
        <w:rPr>
          <w:noProof/>
          <w:sz w:val="28"/>
          <w:szCs w:val="28"/>
          <w:lang w:val="vi-VN"/>
        </w:rPr>
        <w:t xml:space="preserve"> </w:t>
      </w:r>
      <w:r w:rsidR="00E07F07">
        <w:rPr>
          <w:noProof/>
          <w:sz w:val="28"/>
          <w:szCs w:val="28"/>
        </w:rPr>
        <w:t>đã tổ chức L</w:t>
      </w:r>
      <w:r w:rsidR="00E07F07" w:rsidRPr="00E07F07">
        <w:rPr>
          <w:noProof/>
          <w:sz w:val="28"/>
          <w:szCs w:val="28"/>
          <w:lang w:val="vi-VN"/>
        </w:rPr>
        <w:t xml:space="preserve">ễ ra mắt nền tảng SmartEVN </w:t>
      </w:r>
      <w:r w:rsidR="00E07F07">
        <w:rPr>
          <w:noProof/>
          <w:sz w:val="28"/>
          <w:szCs w:val="28"/>
        </w:rPr>
        <w:t>- ứng dụng phục vụ người lao động trong Tập đoàn Điện lực Việt Nam -</w:t>
      </w:r>
      <w:r w:rsidR="00E07F07" w:rsidRPr="00E07F07">
        <w:rPr>
          <w:noProof/>
          <w:sz w:val="28"/>
          <w:szCs w:val="28"/>
          <w:lang w:val="vi-VN"/>
        </w:rPr>
        <w:t xml:space="preserve"> để chính thức đưa vào sử dụng tại </w:t>
      </w:r>
      <w:r w:rsidR="00E07F07">
        <w:rPr>
          <w:noProof/>
          <w:sz w:val="28"/>
          <w:szCs w:val="28"/>
        </w:rPr>
        <w:t>C</w:t>
      </w:r>
      <w:r w:rsidR="00E07F07" w:rsidRPr="00E07F07">
        <w:rPr>
          <w:noProof/>
          <w:sz w:val="28"/>
          <w:szCs w:val="28"/>
          <w:lang w:val="vi-VN"/>
        </w:rPr>
        <w:t>ơ quan Tổng công ty từ ngày 01/05/2022 và sau khi có đủ điều kiện sẽ triển khai trong toàn Tổng công ty.</w:t>
      </w:r>
    </w:p>
    <w:p w14:paraId="5332F6CC" w14:textId="6D96E6AC" w:rsidR="00CC240D" w:rsidRPr="002C1216" w:rsidRDefault="00856296" w:rsidP="00E07F07">
      <w:pPr>
        <w:spacing w:line="276" w:lineRule="auto"/>
        <w:ind w:right="44" w:firstLine="720"/>
        <w:jc w:val="both"/>
        <w:rPr>
          <w:sz w:val="28"/>
          <w:szCs w:val="28"/>
          <w:lang w:val="vi-VN"/>
        </w:rPr>
      </w:pPr>
      <w:r w:rsidRPr="002656A2">
        <w:rPr>
          <w:bCs/>
          <w:sz w:val="28"/>
          <w:szCs w:val="28"/>
          <w:shd w:val="clear" w:color="auto" w:fill="FFFFFF"/>
        </w:rPr>
        <w:t>Hưởng</w:t>
      </w:r>
      <w:r w:rsidRPr="002656A2">
        <w:rPr>
          <w:bCs/>
          <w:sz w:val="28"/>
          <w:szCs w:val="28"/>
          <w:shd w:val="clear" w:color="auto" w:fill="FFFFFF"/>
          <w:lang w:val="vi-VN"/>
        </w:rPr>
        <w:t xml:space="preserve"> ứng Tháng Công nhân và Tháng hành động về an toàn vệ sinh lao động năm 2022, bên cạnh các hoạt động chăm lo, bảo vệ quyền và lợi ích chính đáng của người lao động, </w:t>
      </w:r>
      <w:r w:rsidRPr="002656A2">
        <w:rPr>
          <w:noProof/>
          <w:sz w:val="28"/>
          <w:szCs w:val="28"/>
          <w:lang w:val="vi-VN"/>
        </w:rPr>
        <w:t>EVN</w:t>
      </w:r>
      <w:r w:rsidRPr="002656A2">
        <w:rPr>
          <w:i/>
          <w:iCs/>
          <w:noProof/>
          <w:sz w:val="28"/>
          <w:szCs w:val="28"/>
          <w:lang w:val="vi-VN"/>
        </w:rPr>
        <w:t xml:space="preserve">GENCO1 </w:t>
      </w:r>
      <w:r w:rsidRPr="002656A2">
        <w:rPr>
          <w:noProof/>
          <w:sz w:val="28"/>
          <w:szCs w:val="28"/>
          <w:lang w:val="vi-VN"/>
        </w:rPr>
        <w:t xml:space="preserve">đã tổ chức Hội thi Cán bộ an toàn, An toàn vệ sinh viên giỏi và Lễ biểu dương Người lao động tiêu biểu </w:t>
      </w:r>
      <w:r w:rsidR="002656A2" w:rsidRPr="002656A2">
        <w:rPr>
          <w:noProof/>
          <w:sz w:val="28"/>
          <w:szCs w:val="28"/>
          <w:lang w:val="vi-VN"/>
        </w:rPr>
        <w:t>năm 2022. Chương trình đã g</w:t>
      </w:r>
      <w:r w:rsidR="002656A2" w:rsidRPr="002656A2">
        <w:rPr>
          <w:color w:val="000000"/>
          <w:sz w:val="28"/>
          <w:szCs w:val="28"/>
          <w:shd w:val="clear" w:color="auto" w:fill="FFFFFF"/>
        </w:rPr>
        <w:t>óp phần nâng cao chất lượng, hiệu quả hoạt động của mạng lưới an toàn vệ sinh viên</w:t>
      </w:r>
      <w:r w:rsidR="002656A2" w:rsidRPr="002656A2">
        <w:rPr>
          <w:color w:val="000000"/>
          <w:sz w:val="28"/>
          <w:szCs w:val="28"/>
          <w:shd w:val="clear" w:color="auto" w:fill="FFFFFF"/>
          <w:lang w:val="vi-VN"/>
        </w:rPr>
        <w:t xml:space="preserve">, </w:t>
      </w:r>
      <w:r w:rsidR="002656A2" w:rsidRPr="002656A2">
        <w:rPr>
          <w:color w:val="000000"/>
          <w:sz w:val="28"/>
          <w:szCs w:val="28"/>
          <w:shd w:val="clear" w:color="auto" w:fill="FFFFFF"/>
          <w:lang w:val="vi-VN"/>
        </w:rPr>
        <w:lastRenderedPageBreak/>
        <w:t xml:space="preserve">đồng thời lan toả </w:t>
      </w:r>
      <w:r w:rsidR="002656A2" w:rsidRPr="002656A2">
        <w:rPr>
          <w:color w:val="000000"/>
          <w:sz w:val="28"/>
          <w:szCs w:val="28"/>
          <w:shd w:val="clear" w:color="auto" w:fill="FFFFFF"/>
        </w:rPr>
        <w:t>tinh thần hăng say lao động, phát huy sáng kiến trong tập thể người lao động của Tổng công ty</w:t>
      </w:r>
      <w:r w:rsidR="002656A2" w:rsidRPr="002656A2">
        <w:rPr>
          <w:sz w:val="28"/>
          <w:szCs w:val="28"/>
          <w:lang w:val="vi-VN"/>
        </w:rPr>
        <w:t>.</w:t>
      </w:r>
    </w:p>
    <w:p w14:paraId="78C5DC52" w14:textId="5F11615F" w:rsidR="00C62E05" w:rsidRPr="000602DB" w:rsidRDefault="00C62E05" w:rsidP="002C1216">
      <w:pPr>
        <w:tabs>
          <w:tab w:val="left" w:pos="851"/>
        </w:tabs>
        <w:spacing w:before="120" w:after="120" w:line="276" w:lineRule="auto"/>
        <w:ind w:firstLine="709"/>
        <w:jc w:val="both"/>
        <w:rPr>
          <w:sz w:val="28"/>
          <w:szCs w:val="28"/>
          <w:lang w:val="vi-VN"/>
        </w:rPr>
      </w:pPr>
      <w:r w:rsidRPr="00AB15D6">
        <w:rPr>
          <w:rStyle w:val="Strong"/>
          <w:sz w:val="28"/>
          <w:szCs w:val="28"/>
        </w:rPr>
        <w:t xml:space="preserve">Nhiệm vụ trọng tâm </w:t>
      </w:r>
      <w:r w:rsidR="00373913">
        <w:rPr>
          <w:rStyle w:val="Strong"/>
          <w:sz w:val="28"/>
          <w:szCs w:val="28"/>
        </w:rPr>
        <w:t>tháng</w:t>
      </w:r>
      <w:r w:rsidR="00B014E8" w:rsidRPr="00AB15D6">
        <w:rPr>
          <w:rStyle w:val="Strong"/>
          <w:sz w:val="28"/>
          <w:szCs w:val="28"/>
        </w:rPr>
        <w:t xml:space="preserve"> </w:t>
      </w:r>
      <w:r w:rsidR="00EB6B8A">
        <w:rPr>
          <w:rStyle w:val="Strong"/>
          <w:sz w:val="28"/>
          <w:szCs w:val="28"/>
          <w:lang w:val="vi-VN"/>
        </w:rPr>
        <w:t>6</w:t>
      </w:r>
      <w:r w:rsidR="000602DB">
        <w:rPr>
          <w:rStyle w:val="Strong"/>
          <w:sz w:val="28"/>
          <w:szCs w:val="28"/>
          <w:lang w:val="vi-VN"/>
        </w:rPr>
        <w:t>/2022</w:t>
      </w:r>
    </w:p>
    <w:p w14:paraId="2BDCEC4E" w14:textId="77777777" w:rsidR="00AA067E" w:rsidRDefault="007064DD" w:rsidP="002C1216">
      <w:pPr>
        <w:spacing w:before="120" w:after="120" w:line="276" w:lineRule="auto"/>
        <w:ind w:firstLine="709"/>
        <w:jc w:val="both"/>
        <w:outlineLvl w:val="0"/>
        <w:rPr>
          <w:sz w:val="28"/>
          <w:szCs w:val="28"/>
          <w:lang w:val="vi-VN"/>
        </w:rPr>
      </w:pPr>
      <w:r>
        <w:rPr>
          <w:sz w:val="28"/>
          <w:szCs w:val="28"/>
        </w:rPr>
        <w:t xml:space="preserve">Tháng </w:t>
      </w:r>
      <w:r w:rsidR="00EB6B8A">
        <w:rPr>
          <w:sz w:val="28"/>
          <w:szCs w:val="28"/>
          <w:lang w:val="vi-VN"/>
        </w:rPr>
        <w:t>6</w:t>
      </w:r>
      <w:r w:rsidR="00D60952">
        <w:rPr>
          <w:sz w:val="28"/>
          <w:szCs w:val="28"/>
          <w:lang w:val="vi-VN"/>
        </w:rPr>
        <w:t>/2022</w:t>
      </w:r>
      <w:r w:rsidR="003A13F9" w:rsidRPr="00AB15D6">
        <w:rPr>
          <w:sz w:val="28"/>
          <w:szCs w:val="28"/>
        </w:rPr>
        <w:t xml:space="preserve">, </w:t>
      </w:r>
      <w:r w:rsidR="00EB6B8A">
        <w:rPr>
          <w:sz w:val="28"/>
          <w:szCs w:val="28"/>
        </w:rPr>
        <w:t>nhiệm</w:t>
      </w:r>
      <w:r w:rsidR="00EB6B8A">
        <w:rPr>
          <w:sz w:val="28"/>
          <w:szCs w:val="28"/>
          <w:lang w:val="vi-VN"/>
        </w:rPr>
        <w:t xml:space="preserve"> vụ được </w:t>
      </w:r>
      <w:r w:rsidR="00665C2E">
        <w:rPr>
          <w:sz w:val="28"/>
          <w:szCs w:val="28"/>
        </w:rPr>
        <w:t>EVN</w:t>
      </w:r>
      <w:r w:rsidR="00665C2E" w:rsidRPr="00665C2E">
        <w:rPr>
          <w:i/>
          <w:iCs/>
          <w:sz w:val="28"/>
          <w:szCs w:val="28"/>
        </w:rPr>
        <w:t>GENCO1</w:t>
      </w:r>
      <w:r w:rsidR="00665C2E">
        <w:rPr>
          <w:sz w:val="28"/>
          <w:szCs w:val="28"/>
        </w:rPr>
        <w:t xml:space="preserve"> </w:t>
      </w:r>
      <w:r w:rsidR="00665C2E" w:rsidRPr="00AB15D6">
        <w:rPr>
          <w:sz w:val="28"/>
          <w:szCs w:val="28"/>
        </w:rPr>
        <w:t xml:space="preserve">đặt lên hàng đầu </w:t>
      </w:r>
      <w:r w:rsidR="00567E40">
        <w:rPr>
          <w:sz w:val="28"/>
          <w:szCs w:val="28"/>
        </w:rPr>
        <w:t>là</w:t>
      </w:r>
      <w:r w:rsidR="00665C2E" w:rsidRPr="00AB15D6">
        <w:rPr>
          <w:sz w:val="28"/>
          <w:szCs w:val="28"/>
        </w:rPr>
        <w:t xml:space="preserve"> </w:t>
      </w:r>
      <w:r w:rsidR="00EB6B8A">
        <w:rPr>
          <w:sz w:val="28"/>
          <w:szCs w:val="28"/>
        </w:rPr>
        <w:t>sản</w:t>
      </w:r>
      <w:r w:rsidR="00EB6B8A">
        <w:rPr>
          <w:sz w:val="28"/>
          <w:szCs w:val="28"/>
          <w:lang w:val="vi-VN"/>
        </w:rPr>
        <w:t xml:space="preserve"> xuất</w:t>
      </w:r>
      <w:r w:rsidR="00665C2E">
        <w:rPr>
          <w:sz w:val="28"/>
          <w:szCs w:val="28"/>
        </w:rPr>
        <w:t xml:space="preserve"> </w:t>
      </w:r>
      <w:r w:rsidR="00EB6B8A">
        <w:rPr>
          <w:sz w:val="28"/>
          <w:szCs w:val="28"/>
          <w:lang w:val="vi-VN"/>
        </w:rPr>
        <w:t>3.113,7</w:t>
      </w:r>
      <w:r w:rsidR="00665C2E">
        <w:rPr>
          <w:sz w:val="28"/>
          <w:szCs w:val="28"/>
        </w:rPr>
        <w:t xml:space="preserve"> triệu kWh</w:t>
      </w:r>
      <w:r w:rsidR="00EB6B8A">
        <w:rPr>
          <w:sz w:val="28"/>
          <w:szCs w:val="28"/>
          <w:lang w:val="vi-VN"/>
        </w:rPr>
        <w:t>, hoàn thành vượt kế hoạch được Bộ Công thương và EVN giao</w:t>
      </w:r>
      <w:r w:rsidR="00ED7B20">
        <w:rPr>
          <w:sz w:val="28"/>
          <w:szCs w:val="28"/>
          <w:lang w:val="vi-VN"/>
        </w:rPr>
        <w:t xml:space="preserve"> trên cơ sở tăng cường công tác sửa chữa bảo dưỡng, đảm bảo cung cấp than cho sản xuất điện với các nhà máy nhiệt điện và vận hành ổn định, tuân thủ các quy định về quy trình vận hành liên hồ chứa với các nhà máy thuỷ điện.</w:t>
      </w:r>
      <w:r w:rsidR="001E6F73">
        <w:rPr>
          <w:sz w:val="28"/>
          <w:szCs w:val="28"/>
          <w:lang w:val="vi-VN"/>
        </w:rPr>
        <w:t xml:space="preserve"> </w:t>
      </w:r>
    </w:p>
    <w:p w14:paraId="674F28DB" w14:textId="0B34CDB0" w:rsidR="0022294A" w:rsidRPr="00D330E1" w:rsidRDefault="001E6F73" w:rsidP="002C1216">
      <w:pPr>
        <w:spacing w:before="120" w:after="120" w:line="276" w:lineRule="auto"/>
        <w:ind w:firstLine="709"/>
        <w:jc w:val="both"/>
        <w:outlineLvl w:val="0"/>
        <w:rPr>
          <w:sz w:val="28"/>
          <w:szCs w:val="28"/>
          <w:lang w:val="vi-VN"/>
        </w:rPr>
      </w:pPr>
      <w:r>
        <w:rPr>
          <w:sz w:val="28"/>
          <w:szCs w:val="28"/>
          <w:lang w:val="vi-VN"/>
        </w:rPr>
        <w:t xml:space="preserve">Đặc biệt, để chuẩn bị tốt cho mùa mưa bão sắp tới, </w:t>
      </w:r>
      <w:r>
        <w:rPr>
          <w:sz w:val="28"/>
          <w:szCs w:val="28"/>
        </w:rPr>
        <w:t>EVN</w:t>
      </w:r>
      <w:r w:rsidRPr="00665C2E">
        <w:rPr>
          <w:i/>
          <w:iCs/>
          <w:sz w:val="28"/>
          <w:szCs w:val="28"/>
        </w:rPr>
        <w:t>GENCO1</w:t>
      </w:r>
      <w:r>
        <w:rPr>
          <w:i/>
          <w:iCs/>
          <w:sz w:val="28"/>
          <w:szCs w:val="28"/>
          <w:lang w:val="vi-VN"/>
        </w:rPr>
        <w:t xml:space="preserve"> </w:t>
      </w:r>
      <w:r w:rsidRPr="001E6F73">
        <w:rPr>
          <w:sz w:val="28"/>
          <w:szCs w:val="28"/>
          <w:lang w:val="vi-VN"/>
        </w:rPr>
        <w:t>sẽ</w:t>
      </w:r>
      <w:r>
        <w:rPr>
          <w:sz w:val="28"/>
          <w:szCs w:val="28"/>
          <w:lang w:val="vi-VN"/>
        </w:rPr>
        <w:t xml:space="preserve"> tiến hành</w:t>
      </w:r>
      <w:r w:rsidR="00D330E1">
        <w:rPr>
          <w:sz w:val="28"/>
          <w:szCs w:val="28"/>
        </w:rPr>
        <w:t xml:space="preserve"> </w:t>
      </w:r>
      <w:r w:rsidR="00D330E1" w:rsidRPr="00D330E1">
        <w:rPr>
          <w:sz w:val="28"/>
          <w:szCs w:val="28"/>
          <w:shd w:val="clear" w:color="auto" w:fill="FFFFFF"/>
        </w:rPr>
        <w:t>nhiều giải pháp</w:t>
      </w:r>
      <w:r w:rsidR="00D330E1" w:rsidRPr="00D330E1">
        <w:rPr>
          <w:sz w:val="28"/>
          <w:szCs w:val="28"/>
          <w:shd w:val="clear" w:color="auto" w:fill="FFFFFF"/>
        </w:rPr>
        <w:t xml:space="preserve"> để </w:t>
      </w:r>
      <w:r w:rsidR="00D330E1" w:rsidRPr="00D330E1">
        <w:rPr>
          <w:sz w:val="28"/>
          <w:szCs w:val="28"/>
          <w:shd w:val="clear" w:color="auto" w:fill="FFFFFF"/>
        </w:rPr>
        <w:t xml:space="preserve">vận hành </w:t>
      </w:r>
      <w:r w:rsidR="00AA067E">
        <w:rPr>
          <w:sz w:val="28"/>
          <w:szCs w:val="28"/>
          <w:shd w:val="clear" w:color="auto" w:fill="FFFFFF"/>
        </w:rPr>
        <w:t xml:space="preserve">các </w:t>
      </w:r>
      <w:r w:rsidR="00D330E1" w:rsidRPr="00D330E1">
        <w:rPr>
          <w:sz w:val="28"/>
          <w:szCs w:val="28"/>
          <w:shd w:val="clear" w:color="auto" w:fill="FFFFFF"/>
        </w:rPr>
        <w:t>nhà máy</w:t>
      </w:r>
      <w:r w:rsidR="00AA067E">
        <w:rPr>
          <w:sz w:val="28"/>
          <w:szCs w:val="28"/>
          <w:shd w:val="clear" w:color="auto" w:fill="FFFFFF"/>
        </w:rPr>
        <w:t xml:space="preserve"> thủy điện</w:t>
      </w:r>
      <w:r w:rsidR="00D330E1" w:rsidRPr="00D330E1">
        <w:rPr>
          <w:sz w:val="28"/>
          <w:szCs w:val="28"/>
          <w:shd w:val="clear" w:color="auto" w:fill="FFFFFF"/>
        </w:rPr>
        <w:t xml:space="preserve"> an toàn trong mùa mưa bão sắp tới</w:t>
      </w:r>
      <w:r w:rsidR="00D330E1" w:rsidRPr="00D330E1">
        <w:rPr>
          <w:sz w:val="28"/>
          <w:szCs w:val="28"/>
          <w:shd w:val="clear" w:color="auto" w:fill="FFFFFF"/>
        </w:rPr>
        <w:t>,</w:t>
      </w:r>
      <w:r w:rsidR="00D330E1" w:rsidRPr="00D330E1">
        <w:rPr>
          <w:sz w:val="28"/>
          <w:szCs w:val="28"/>
          <w:shd w:val="clear" w:color="auto" w:fill="FFFFFF"/>
        </w:rPr>
        <w:t xml:space="preserve"> phòng, chống, giảm nhẹ thiệt hại do bão lũ cho người dân khu vực hạ du.</w:t>
      </w:r>
      <w:r w:rsidRPr="00D330E1">
        <w:rPr>
          <w:sz w:val="28"/>
          <w:szCs w:val="28"/>
          <w:lang w:val="vi-VN"/>
        </w:rPr>
        <w:t xml:space="preserve"> </w:t>
      </w:r>
      <w:r w:rsidR="00AA067E">
        <w:rPr>
          <w:sz w:val="28"/>
          <w:szCs w:val="28"/>
          <w:shd w:val="clear" w:color="auto" w:fill="FFFFFF"/>
        </w:rPr>
        <w:t>Hai nhóm giải pháp chính là t</w:t>
      </w:r>
      <w:r w:rsidR="00D330E1" w:rsidRPr="00D330E1">
        <w:rPr>
          <w:sz w:val="28"/>
          <w:szCs w:val="28"/>
          <w:shd w:val="clear" w:color="auto" w:fill="FFFFFF"/>
        </w:rPr>
        <w:t>hực hiện tổng kiểm tra công trình, tiến hành bảo dưỡng thiết bị, vận hành thử các cửa van đập tràn</w:t>
      </w:r>
      <w:r w:rsidR="00AA067E">
        <w:rPr>
          <w:sz w:val="28"/>
          <w:szCs w:val="28"/>
          <w:shd w:val="clear" w:color="auto" w:fill="FFFFFF"/>
        </w:rPr>
        <w:t>…</w:t>
      </w:r>
      <w:r w:rsidRPr="00D330E1">
        <w:rPr>
          <w:sz w:val="28"/>
          <w:szCs w:val="28"/>
          <w:lang w:val="vi-VN"/>
        </w:rPr>
        <w:t>, đồng thời đẩy mạnh công tác tuyên truyền</w:t>
      </w:r>
      <w:r w:rsidR="00525266" w:rsidRPr="00D330E1">
        <w:rPr>
          <w:sz w:val="28"/>
          <w:szCs w:val="28"/>
          <w:lang w:val="vi-VN"/>
        </w:rPr>
        <w:t xml:space="preserve"> </w:t>
      </w:r>
      <w:r w:rsidR="00D330E1" w:rsidRPr="00D330E1">
        <w:rPr>
          <w:sz w:val="28"/>
          <w:szCs w:val="28"/>
          <w:shd w:val="clear" w:color="auto" w:fill="FFFFFF"/>
        </w:rPr>
        <w:t>tại địa phương, giúp người dân có nhận thức đầy đủ hơn về vai trò của nhà máy thủy điện trong việc điều tiết nước cũng như phòng, chống thiên tai</w:t>
      </w:r>
      <w:r w:rsidR="00525266" w:rsidRPr="00D330E1">
        <w:rPr>
          <w:sz w:val="28"/>
          <w:szCs w:val="28"/>
          <w:lang w:val="vi-VN"/>
        </w:rPr>
        <w:t>.</w:t>
      </w:r>
    </w:p>
    <w:p w14:paraId="55E4F084" w14:textId="03D97413" w:rsidR="00D20A4B" w:rsidRPr="007B6F13" w:rsidRDefault="002C1216" w:rsidP="002C1216">
      <w:pPr>
        <w:pStyle w:val="BodyText1"/>
        <w:spacing w:after="120" w:line="276" w:lineRule="auto"/>
        <w:ind w:right="44" w:firstLine="720"/>
        <w:jc w:val="both"/>
        <w:rPr>
          <w:sz w:val="28"/>
          <w:szCs w:val="28"/>
          <w:lang w:val="vi-VN"/>
        </w:rPr>
      </w:pPr>
      <w:r>
        <w:rPr>
          <w:sz w:val="28"/>
          <w:szCs w:val="28"/>
        </w:rPr>
        <w:t>Đối</w:t>
      </w:r>
      <w:r>
        <w:rPr>
          <w:sz w:val="28"/>
          <w:szCs w:val="28"/>
          <w:lang w:val="vi-VN"/>
        </w:rPr>
        <w:t xml:space="preserve"> với c</w:t>
      </w:r>
      <w:r>
        <w:rPr>
          <w:sz w:val="28"/>
          <w:szCs w:val="28"/>
        </w:rPr>
        <w:t>ông</w:t>
      </w:r>
      <w:r>
        <w:rPr>
          <w:sz w:val="28"/>
          <w:szCs w:val="28"/>
          <w:lang w:val="vi-VN"/>
        </w:rPr>
        <w:t xml:space="preserve"> tác</w:t>
      </w:r>
      <w:r w:rsidR="003A13F9" w:rsidRPr="00AB15D6">
        <w:rPr>
          <w:sz w:val="28"/>
          <w:szCs w:val="28"/>
        </w:rPr>
        <w:t xml:space="preserve"> ĐTXD, </w:t>
      </w:r>
      <w:r w:rsidR="007B6F13">
        <w:rPr>
          <w:sz w:val="28"/>
          <w:szCs w:val="28"/>
        </w:rPr>
        <w:t>bên</w:t>
      </w:r>
      <w:r w:rsidR="007B6F13">
        <w:rPr>
          <w:sz w:val="28"/>
          <w:szCs w:val="28"/>
          <w:lang w:val="vi-VN"/>
        </w:rPr>
        <w:t xml:space="preserve"> cạnh </w:t>
      </w:r>
      <w:r w:rsidR="00D60952">
        <w:rPr>
          <w:sz w:val="28"/>
          <w:szCs w:val="28"/>
        </w:rPr>
        <w:t>đảm</w:t>
      </w:r>
      <w:r w:rsidR="00D60952">
        <w:rPr>
          <w:sz w:val="28"/>
          <w:szCs w:val="28"/>
          <w:lang w:val="vi-VN"/>
        </w:rPr>
        <w:t xml:space="preserve"> bảo</w:t>
      </w:r>
      <w:r w:rsidR="00F860CC" w:rsidRPr="00AB15D6">
        <w:rPr>
          <w:sz w:val="28"/>
          <w:szCs w:val="28"/>
        </w:rPr>
        <w:t xml:space="preserve"> tiến độ thực hiện</w:t>
      </w:r>
      <w:r w:rsidR="0071274C">
        <w:rPr>
          <w:sz w:val="28"/>
          <w:szCs w:val="28"/>
        </w:rPr>
        <w:t xml:space="preserve"> các</w:t>
      </w:r>
      <w:r w:rsidR="001F4220">
        <w:rPr>
          <w:sz w:val="28"/>
          <w:szCs w:val="28"/>
          <w:lang w:val="vi-VN"/>
        </w:rPr>
        <w:t xml:space="preserve"> </w:t>
      </w:r>
      <w:r w:rsidR="0071274C">
        <w:rPr>
          <w:sz w:val="28"/>
          <w:szCs w:val="28"/>
        </w:rPr>
        <w:t>dự án</w:t>
      </w:r>
      <w:r w:rsidR="00F860CC" w:rsidRPr="00AB15D6">
        <w:rPr>
          <w:sz w:val="28"/>
          <w:szCs w:val="28"/>
        </w:rPr>
        <w:t xml:space="preserve"> </w:t>
      </w:r>
      <w:r w:rsidR="007B6F13">
        <w:rPr>
          <w:sz w:val="28"/>
          <w:szCs w:val="28"/>
        </w:rPr>
        <w:t>đ</w:t>
      </w:r>
      <w:r w:rsidR="007B6F13">
        <w:rPr>
          <w:sz w:val="28"/>
          <w:szCs w:val="28"/>
          <w:lang w:val="vi-VN"/>
        </w:rPr>
        <w:t>ã được phê duyệt theo kế hoạch, EVN</w:t>
      </w:r>
      <w:r w:rsidR="007B6F13" w:rsidRPr="00C10B14">
        <w:rPr>
          <w:i/>
          <w:iCs/>
          <w:sz w:val="28"/>
          <w:szCs w:val="28"/>
          <w:lang w:val="vi-VN"/>
        </w:rPr>
        <w:t>GENCO1</w:t>
      </w:r>
      <w:r w:rsidR="007B6F13">
        <w:rPr>
          <w:sz w:val="28"/>
          <w:szCs w:val="28"/>
          <w:lang w:val="vi-VN"/>
        </w:rPr>
        <w:t xml:space="preserve"> sẽ tiến hành khảo sát, tìm kiếm dự án đầu tư nguồn điện mới, </w:t>
      </w:r>
      <w:r w:rsidR="00C10B14">
        <w:rPr>
          <w:sz w:val="28"/>
          <w:szCs w:val="28"/>
          <w:lang w:val="vi-VN"/>
        </w:rPr>
        <w:t>trong đó ưu tiên các nguồn năng lượng tái tạo như điện gió ngoài khơi.</w:t>
      </w:r>
    </w:p>
    <w:p w14:paraId="2DA826CC" w14:textId="3320507A" w:rsidR="00C413FD" w:rsidRPr="00373913" w:rsidRDefault="00C10B14" w:rsidP="002C1216">
      <w:pPr>
        <w:spacing w:before="40" w:after="40" w:line="276" w:lineRule="auto"/>
        <w:ind w:firstLine="720"/>
        <w:jc w:val="both"/>
        <w:outlineLvl w:val="0"/>
        <w:rPr>
          <w:bCs/>
          <w:sz w:val="28"/>
          <w:szCs w:val="28"/>
        </w:rPr>
      </w:pPr>
      <w:r>
        <w:rPr>
          <w:sz w:val="28"/>
          <w:szCs w:val="28"/>
          <w:shd w:val="clear" w:color="auto" w:fill="FFFFFF"/>
        </w:rPr>
        <w:t>Công</w:t>
      </w:r>
      <w:r>
        <w:rPr>
          <w:sz w:val="28"/>
          <w:szCs w:val="28"/>
          <w:shd w:val="clear" w:color="auto" w:fill="FFFFFF"/>
          <w:lang w:val="vi-VN"/>
        </w:rPr>
        <w:t xml:space="preserve"> tác chuyển đổi số và các công tác khác vẫn sẽ được EVN</w:t>
      </w:r>
      <w:r w:rsidRPr="00C10B14">
        <w:rPr>
          <w:i/>
          <w:iCs/>
          <w:sz w:val="28"/>
          <w:szCs w:val="28"/>
          <w:shd w:val="clear" w:color="auto" w:fill="FFFFFF"/>
          <w:lang w:val="vi-VN"/>
        </w:rPr>
        <w:t xml:space="preserve">GENCO1 </w:t>
      </w:r>
      <w:r>
        <w:rPr>
          <w:sz w:val="28"/>
          <w:szCs w:val="28"/>
          <w:shd w:val="clear" w:color="auto" w:fill="FFFFFF"/>
          <w:lang w:val="vi-VN"/>
        </w:rPr>
        <w:t xml:space="preserve">triển khai theo kế hoạch. </w:t>
      </w:r>
      <w:r w:rsidR="00C413FD" w:rsidRPr="00373913">
        <w:rPr>
          <w:sz w:val="28"/>
          <w:szCs w:val="28"/>
          <w:shd w:val="clear" w:color="auto" w:fill="FFFFFF"/>
        </w:rPr>
        <w:t xml:space="preserve">Công tác phòng, chống dịch bệnh Covid-19 tiếp tục </w:t>
      </w:r>
      <w:r w:rsidR="00373913" w:rsidRPr="00373913">
        <w:rPr>
          <w:sz w:val="28"/>
          <w:szCs w:val="28"/>
          <w:shd w:val="clear" w:color="auto" w:fill="FFFFFF"/>
        </w:rPr>
        <w:t xml:space="preserve">được </w:t>
      </w:r>
      <w:r w:rsidR="00373913" w:rsidRPr="00373913">
        <w:rPr>
          <w:color w:val="000000"/>
          <w:sz w:val="28"/>
          <w:szCs w:val="28"/>
          <w:shd w:val="clear" w:color="auto" w:fill="FFFFFF"/>
        </w:rPr>
        <w:t>nghiêm túc thực hiện theo các chỉ đạo của Chính phủ, Bộ Y tế và địa phương</w:t>
      </w:r>
      <w:r w:rsidR="009D7F07">
        <w:rPr>
          <w:color w:val="000000"/>
          <w:sz w:val="28"/>
          <w:szCs w:val="28"/>
          <w:shd w:val="clear" w:color="auto" w:fill="FFFFFF"/>
        </w:rPr>
        <w:t xml:space="preserve"> về việc thích ứng an toàn, linh hoạt và hiệu quả </w:t>
      </w:r>
      <w:r w:rsidR="00373913" w:rsidRPr="00373913">
        <w:rPr>
          <w:color w:val="000000"/>
          <w:sz w:val="28"/>
          <w:szCs w:val="28"/>
          <w:shd w:val="clear" w:color="auto" w:fill="FFFFFF"/>
        </w:rPr>
        <w:t>để duy trì bền vững và ổn định hoạt động sản xuất trong toàn Tổng công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496309604">
    <w:abstractNumId w:val="1"/>
  </w:num>
  <w:num w:numId="2" w16cid:durableId="2031563868">
    <w:abstractNumId w:val="0"/>
  </w:num>
  <w:num w:numId="3" w16cid:durableId="1216314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1018C"/>
    <w:rsid w:val="000602DB"/>
    <w:rsid w:val="0006198B"/>
    <w:rsid w:val="000641A4"/>
    <w:rsid w:val="00087B5B"/>
    <w:rsid w:val="00087D88"/>
    <w:rsid w:val="000B2225"/>
    <w:rsid w:val="000C6CC6"/>
    <w:rsid w:val="000E3A41"/>
    <w:rsid w:val="000F5141"/>
    <w:rsid w:val="00100847"/>
    <w:rsid w:val="00106A2E"/>
    <w:rsid w:val="00150437"/>
    <w:rsid w:val="00150C74"/>
    <w:rsid w:val="00154341"/>
    <w:rsid w:val="00164120"/>
    <w:rsid w:val="00173473"/>
    <w:rsid w:val="00177728"/>
    <w:rsid w:val="001779E3"/>
    <w:rsid w:val="00180489"/>
    <w:rsid w:val="00193EB2"/>
    <w:rsid w:val="001A1646"/>
    <w:rsid w:val="001A57D3"/>
    <w:rsid w:val="001B3681"/>
    <w:rsid w:val="001B5E81"/>
    <w:rsid w:val="001D3A83"/>
    <w:rsid w:val="001E6C66"/>
    <w:rsid w:val="001E6F73"/>
    <w:rsid w:val="001F1E5F"/>
    <w:rsid w:val="001F2B43"/>
    <w:rsid w:val="001F4220"/>
    <w:rsid w:val="0020612E"/>
    <w:rsid w:val="002103DE"/>
    <w:rsid w:val="00211813"/>
    <w:rsid w:val="0022294A"/>
    <w:rsid w:val="00227EFE"/>
    <w:rsid w:val="0024567E"/>
    <w:rsid w:val="00247C38"/>
    <w:rsid w:val="002656A2"/>
    <w:rsid w:val="002833C3"/>
    <w:rsid w:val="00292E4D"/>
    <w:rsid w:val="00292F7F"/>
    <w:rsid w:val="00295CB6"/>
    <w:rsid w:val="002B3E92"/>
    <w:rsid w:val="002B3F13"/>
    <w:rsid w:val="002C1216"/>
    <w:rsid w:val="002C1B08"/>
    <w:rsid w:val="002C5DF1"/>
    <w:rsid w:val="002C64CD"/>
    <w:rsid w:val="002D3D68"/>
    <w:rsid w:val="002E522A"/>
    <w:rsid w:val="002E717C"/>
    <w:rsid w:val="0030337A"/>
    <w:rsid w:val="0030431A"/>
    <w:rsid w:val="003071E7"/>
    <w:rsid w:val="003105CB"/>
    <w:rsid w:val="00314CCA"/>
    <w:rsid w:val="00341005"/>
    <w:rsid w:val="003432F2"/>
    <w:rsid w:val="003467FA"/>
    <w:rsid w:val="00347365"/>
    <w:rsid w:val="00353C8E"/>
    <w:rsid w:val="00354395"/>
    <w:rsid w:val="0035725F"/>
    <w:rsid w:val="00366EF5"/>
    <w:rsid w:val="00373913"/>
    <w:rsid w:val="00375F4C"/>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966BD"/>
    <w:rsid w:val="004A3F3E"/>
    <w:rsid w:val="004B727E"/>
    <w:rsid w:val="004C6FC9"/>
    <w:rsid w:val="004E02CF"/>
    <w:rsid w:val="004F0243"/>
    <w:rsid w:val="004F4829"/>
    <w:rsid w:val="004F5193"/>
    <w:rsid w:val="00525266"/>
    <w:rsid w:val="0052668D"/>
    <w:rsid w:val="00533ED7"/>
    <w:rsid w:val="00540CF1"/>
    <w:rsid w:val="005500B6"/>
    <w:rsid w:val="00561FD5"/>
    <w:rsid w:val="00562A31"/>
    <w:rsid w:val="00567E40"/>
    <w:rsid w:val="00571DB1"/>
    <w:rsid w:val="0057425B"/>
    <w:rsid w:val="005A1841"/>
    <w:rsid w:val="005A64A6"/>
    <w:rsid w:val="005B0C1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5796F"/>
    <w:rsid w:val="00665C2E"/>
    <w:rsid w:val="00676F24"/>
    <w:rsid w:val="006846EF"/>
    <w:rsid w:val="00691AC1"/>
    <w:rsid w:val="006A1C36"/>
    <w:rsid w:val="006A56BE"/>
    <w:rsid w:val="006A5D48"/>
    <w:rsid w:val="006B7FDB"/>
    <w:rsid w:val="006C6F91"/>
    <w:rsid w:val="006C7286"/>
    <w:rsid w:val="006D20F0"/>
    <w:rsid w:val="006D503C"/>
    <w:rsid w:val="006F0336"/>
    <w:rsid w:val="006F3BFC"/>
    <w:rsid w:val="00704D63"/>
    <w:rsid w:val="007064DD"/>
    <w:rsid w:val="0071274C"/>
    <w:rsid w:val="00724E9A"/>
    <w:rsid w:val="007600AE"/>
    <w:rsid w:val="00795973"/>
    <w:rsid w:val="007B3C8A"/>
    <w:rsid w:val="007B6F13"/>
    <w:rsid w:val="007C669D"/>
    <w:rsid w:val="007E3870"/>
    <w:rsid w:val="007E67F5"/>
    <w:rsid w:val="00803375"/>
    <w:rsid w:val="00824C24"/>
    <w:rsid w:val="00824F97"/>
    <w:rsid w:val="00837F84"/>
    <w:rsid w:val="00856296"/>
    <w:rsid w:val="008677F1"/>
    <w:rsid w:val="00873CA6"/>
    <w:rsid w:val="0089413E"/>
    <w:rsid w:val="00895AD9"/>
    <w:rsid w:val="00897252"/>
    <w:rsid w:val="008B17CD"/>
    <w:rsid w:val="008C495D"/>
    <w:rsid w:val="008C6923"/>
    <w:rsid w:val="008E0706"/>
    <w:rsid w:val="008E72D7"/>
    <w:rsid w:val="008E74FF"/>
    <w:rsid w:val="008F75DA"/>
    <w:rsid w:val="008F7C0D"/>
    <w:rsid w:val="00901628"/>
    <w:rsid w:val="00916942"/>
    <w:rsid w:val="00922529"/>
    <w:rsid w:val="009246E9"/>
    <w:rsid w:val="00930A86"/>
    <w:rsid w:val="00930E9A"/>
    <w:rsid w:val="0093577C"/>
    <w:rsid w:val="00946680"/>
    <w:rsid w:val="00960249"/>
    <w:rsid w:val="00967AA0"/>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54233"/>
    <w:rsid w:val="00A56660"/>
    <w:rsid w:val="00A64B23"/>
    <w:rsid w:val="00AA067E"/>
    <w:rsid w:val="00AA3A3E"/>
    <w:rsid w:val="00AA73B1"/>
    <w:rsid w:val="00AB15D6"/>
    <w:rsid w:val="00AB234B"/>
    <w:rsid w:val="00AB2936"/>
    <w:rsid w:val="00AD134F"/>
    <w:rsid w:val="00AF698E"/>
    <w:rsid w:val="00B014E8"/>
    <w:rsid w:val="00B06807"/>
    <w:rsid w:val="00B10ACF"/>
    <w:rsid w:val="00B25AD3"/>
    <w:rsid w:val="00B31912"/>
    <w:rsid w:val="00B341E2"/>
    <w:rsid w:val="00B65005"/>
    <w:rsid w:val="00B701B0"/>
    <w:rsid w:val="00B72B1F"/>
    <w:rsid w:val="00B73815"/>
    <w:rsid w:val="00B8003E"/>
    <w:rsid w:val="00B96523"/>
    <w:rsid w:val="00B97F74"/>
    <w:rsid w:val="00BC050A"/>
    <w:rsid w:val="00BC6FEF"/>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C240D"/>
    <w:rsid w:val="00CC4BFE"/>
    <w:rsid w:val="00CC6F0F"/>
    <w:rsid w:val="00CC7D45"/>
    <w:rsid w:val="00CD42DF"/>
    <w:rsid w:val="00CF5713"/>
    <w:rsid w:val="00D20A4B"/>
    <w:rsid w:val="00D310A1"/>
    <w:rsid w:val="00D31A01"/>
    <w:rsid w:val="00D330E1"/>
    <w:rsid w:val="00D4200B"/>
    <w:rsid w:val="00D60952"/>
    <w:rsid w:val="00D62BF2"/>
    <w:rsid w:val="00D9216D"/>
    <w:rsid w:val="00DA0799"/>
    <w:rsid w:val="00DB739A"/>
    <w:rsid w:val="00DC74EA"/>
    <w:rsid w:val="00DD3A5E"/>
    <w:rsid w:val="00DD63D6"/>
    <w:rsid w:val="00DE479B"/>
    <w:rsid w:val="00DF69B9"/>
    <w:rsid w:val="00E0138B"/>
    <w:rsid w:val="00E05B50"/>
    <w:rsid w:val="00E07F07"/>
    <w:rsid w:val="00E11A01"/>
    <w:rsid w:val="00E24C33"/>
    <w:rsid w:val="00E37760"/>
    <w:rsid w:val="00E41BE2"/>
    <w:rsid w:val="00E45787"/>
    <w:rsid w:val="00E57809"/>
    <w:rsid w:val="00E72E11"/>
    <w:rsid w:val="00E74D85"/>
    <w:rsid w:val="00EB219D"/>
    <w:rsid w:val="00EB6B8A"/>
    <w:rsid w:val="00EC2ACA"/>
    <w:rsid w:val="00EC2DFB"/>
    <w:rsid w:val="00EC3BBF"/>
    <w:rsid w:val="00EC6AE2"/>
    <w:rsid w:val="00EC712A"/>
    <w:rsid w:val="00ED7B20"/>
    <w:rsid w:val="00EE67A7"/>
    <w:rsid w:val="00F038ED"/>
    <w:rsid w:val="00F062B1"/>
    <w:rsid w:val="00F23AAC"/>
    <w:rsid w:val="00F31032"/>
    <w:rsid w:val="00F34129"/>
    <w:rsid w:val="00F3582F"/>
    <w:rsid w:val="00F367EB"/>
    <w:rsid w:val="00F416DC"/>
    <w:rsid w:val="00F57BE8"/>
    <w:rsid w:val="00F62C3B"/>
    <w:rsid w:val="00F66E7F"/>
    <w:rsid w:val="00F73DD9"/>
    <w:rsid w:val="00F860CC"/>
    <w:rsid w:val="00F87F09"/>
    <w:rsid w:val="00FC193A"/>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Nguyen Thi Thu Ha</cp:lastModifiedBy>
  <cp:revision>26</cp:revision>
  <dcterms:created xsi:type="dcterms:W3CDTF">2022-06-07T01:42:00Z</dcterms:created>
  <dcterms:modified xsi:type="dcterms:W3CDTF">2022-06-08T02:26:00Z</dcterms:modified>
</cp:coreProperties>
</file>