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4A7EC100"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024F78">
              <w:rPr>
                <w:sz w:val="28"/>
                <w:szCs w:val="28"/>
              </w:rPr>
              <w:t xml:space="preserve">THÁNG </w:t>
            </w:r>
            <w:r w:rsidR="007B4913">
              <w:rPr>
                <w:sz w:val="28"/>
                <w:szCs w:val="28"/>
              </w:rPr>
              <w:t>8</w:t>
            </w:r>
          </w:p>
          <w:p w14:paraId="2838B377" w14:textId="6AC248BD"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7B4913">
              <w:rPr>
                <w:sz w:val="28"/>
                <w:szCs w:val="28"/>
              </w:rPr>
              <w:t>9</w:t>
            </w:r>
            <w:r>
              <w:rPr>
                <w:sz w:val="28"/>
                <w:szCs w:val="28"/>
              </w:rPr>
              <w:t xml:space="preserve"> NĂM 202</w:t>
            </w:r>
            <w:r w:rsidR="00341005">
              <w:rPr>
                <w:sz w:val="28"/>
                <w:szCs w:val="28"/>
                <w:lang w:val="vi-VN"/>
              </w:rPr>
              <w:t>2</w:t>
            </w:r>
          </w:p>
        </w:tc>
      </w:tr>
    </w:tbl>
    <w:p w14:paraId="7D14CDA9" w14:textId="1085F635" w:rsidR="00C62E05" w:rsidRPr="00341005" w:rsidRDefault="00C62E05" w:rsidP="002C1216">
      <w:pPr>
        <w:pStyle w:val="NormalWeb"/>
        <w:spacing w:before="240" w:beforeAutospacing="0" w:after="80" w:afterAutospacing="0" w:line="276" w:lineRule="auto"/>
        <w:ind w:firstLine="720"/>
        <w:jc w:val="both"/>
        <w:rPr>
          <w:sz w:val="28"/>
          <w:szCs w:val="28"/>
          <w:lang w:val="vi-VN"/>
        </w:rPr>
      </w:pPr>
      <w:r w:rsidRPr="00AB15D6">
        <w:rPr>
          <w:rStyle w:val="Strong"/>
          <w:sz w:val="28"/>
          <w:szCs w:val="28"/>
        </w:rPr>
        <w:t xml:space="preserve">Kết quả SXKD &amp; ĐTXD </w:t>
      </w:r>
      <w:r w:rsidR="00024F78">
        <w:rPr>
          <w:rStyle w:val="Strong"/>
          <w:sz w:val="28"/>
          <w:szCs w:val="28"/>
        </w:rPr>
        <w:t xml:space="preserve">tháng </w:t>
      </w:r>
      <w:r w:rsidR="007B4913">
        <w:rPr>
          <w:rStyle w:val="Strong"/>
          <w:sz w:val="28"/>
          <w:szCs w:val="28"/>
        </w:rPr>
        <w:t>8</w:t>
      </w:r>
      <w:r w:rsidR="00DA5412">
        <w:rPr>
          <w:rStyle w:val="Strong"/>
          <w:sz w:val="28"/>
          <w:szCs w:val="28"/>
        </w:rPr>
        <w:t>/</w:t>
      </w:r>
      <w:r w:rsidR="004E02CF" w:rsidRPr="00AB15D6">
        <w:rPr>
          <w:rStyle w:val="Strong"/>
          <w:sz w:val="28"/>
          <w:szCs w:val="28"/>
        </w:rPr>
        <w:t>202</w:t>
      </w:r>
      <w:r w:rsidR="00341005">
        <w:rPr>
          <w:rStyle w:val="Strong"/>
          <w:sz w:val="28"/>
          <w:szCs w:val="28"/>
          <w:lang w:val="vi-VN"/>
        </w:rPr>
        <w:t>2</w:t>
      </w:r>
    </w:p>
    <w:p w14:paraId="102E79C3" w14:textId="2AA2A0E6" w:rsidR="00250838" w:rsidRDefault="00214D31" w:rsidP="00874AC7">
      <w:pPr>
        <w:pStyle w:val="Char2"/>
        <w:spacing w:before="120" w:after="120" w:line="276" w:lineRule="auto"/>
        <w:ind w:firstLine="706"/>
        <w:jc w:val="both"/>
        <w:rPr>
          <w:rFonts w:ascii="Times New Roman" w:hAnsi="Times New Roman"/>
          <w:spacing w:val="-4"/>
          <w:sz w:val="28"/>
          <w:szCs w:val="28"/>
          <w:lang w:val="da-DK"/>
        </w:rPr>
      </w:pPr>
      <w:r w:rsidRPr="00897BC0">
        <w:rPr>
          <w:rFonts w:ascii="Times New Roman" w:hAnsi="Times New Roman"/>
          <w:sz w:val="28"/>
          <w:szCs w:val="28"/>
        </w:rPr>
        <w:t xml:space="preserve">Trong </w:t>
      </w:r>
      <w:r w:rsidR="00D03D3A" w:rsidRPr="00897BC0">
        <w:rPr>
          <w:rFonts w:ascii="Times New Roman" w:hAnsi="Times New Roman"/>
          <w:sz w:val="28"/>
          <w:szCs w:val="28"/>
        </w:rPr>
        <w:t xml:space="preserve">tháng </w:t>
      </w:r>
      <w:r w:rsidR="007B4913">
        <w:rPr>
          <w:rFonts w:ascii="Times New Roman" w:hAnsi="Times New Roman"/>
          <w:sz w:val="28"/>
          <w:szCs w:val="28"/>
        </w:rPr>
        <w:t>8</w:t>
      </w:r>
      <w:r w:rsidR="00CD75D1" w:rsidRPr="00897BC0">
        <w:rPr>
          <w:rFonts w:ascii="Times New Roman" w:hAnsi="Times New Roman"/>
          <w:sz w:val="28"/>
          <w:szCs w:val="28"/>
        </w:rPr>
        <w:t>/2022</w:t>
      </w:r>
      <w:r w:rsidR="00897BC0" w:rsidRPr="00897BC0">
        <w:rPr>
          <w:rFonts w:ascii="Times New Roman" w:hAnsi="Times New Roman"/>
          <w:sz w:val="28"/>
          <w:szCs w:val="28"/>
        </w:rPr>
        <w:t>, các đơn vị của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w:t>
      </w:r>
      <w:r w:rsidR="007B4913">
        <w:rPr>
          <w:rFonts w:ascii="Times New Roman" w:hAnsi="Times New Roman"/>
          <w:sz w:val="28"/>
          <w:szCs w:val="28"/>
        </w:rPr>
        <w:t>thực hiện tốt kế hoạch bảo dưỡng sửa chữa, đảm bảo tiến độ và chất lượng</w:t>
      </w:r>
      <w:r w:rsidR="00897BC0" w:rsidRPr="00897BC0">
        <w:rPr>
          <w:rFonts w:ascii="Times New Roman" w:hAnsi="Times New Roman"/>
          <w:sz w:val="28"/>
          <w:szCs w:val="28"/>
        </w:rPr>
        <w:t>. Tần suất nước về các hồ thủy điện của Tổng công ty tiếp tục duy trì tốt.</w:t>
      </w:r>
      <w:r w:rsidR="00EC7D5D">
        <w:rPr>
          <w:rFonts w:ascii="Times New Roman" w:hAnsi="Times New Roman"/>
          <w:sz w:val="28"/>
          <w:szCs w:val="28"/>
        </w:rPr>
        <w:t xml:space="preserve"> </w:t>
      </w:r>
      <w:r w:rsidR="007B4913">
        <w:rPr>
          <w:rFonts w:ascii="Times New Roman" w:hAnsi="Times New Roman"/>
          <w:sz w:val="28"/>
          <w:szCs w:val="28"/>
        </w:rPr>
        <w:t>Mặc dù giá than tiếp tục ở mức cao nhưng c</w:t>
      </w:r>
      <w:r w:rsidR="00024F78" w:rsidRPr="00897BC0">
        <w:rPr>
          <w:rFonts w:ascii="Times New Roman" w:hAnsi="Times New Roman"/>
          <w:spacing w:val="-4"/>
          <w:sz w:val="28"/>
          <w:szCs w:val="28"/>
          <w:lang w:val="da-DK"/>
        </w:rPr>
        <w:t xml:space="preserve">ông tác cung ứng than </w:t>
      </w:r>
      <w:r w:rsidR="007B4913">
        <w:rPr>
          <w:rFonts w:ascii="Times New Roman" w:hAnsi="Times New Roman"/>
          <w:spacing w:val="-4"/>
          <w:sz w:val="28"/>
          <w:szCs w:val="28"/>
          <w:lang w:val="da-DK"/>
        </w:rPr>
        <w:t>vẫn</w:t>
      </w:r>
      <w:r w:rsidR="00024F78" w:rsidRPr="00897BC0">
        <w:rPr>
          <w:rFonts w:ascii="Times New Roman" w:hAnsi="Times New Roman"/>
          <w:spacing w:val="-4"/>
          <w:sz w:val="28"/>
          <w:szCs w:val="28"/>
          <w:lang w:val="da-DK"/>
        </w:rPr>
        <w:t xml:space="preserve"> đáp ứng yêu cầu </w:t>
      </w:r>
      <w:r w:rsidR="00897BC0" w:rsidRPr="00897BC0">
        <w:rPr>
          <w:rFonts w:ascii="Times New Roman" w:hAnsi="Times New Roman"/>
          <w:spacing w:val="-4"/>
          <w:sz w:val="28"/>
          <w:szCs w:val="28"/>
          <w:lang w:val="da-DK"/>
        </w:rPr>
        <w:t>sản xuất</w:t>
      </w:r>
      <w:r w:rsidR="00024F78" w:rsidRPr="00897BC0">
        <w:rPr>
          <w:rFonts w:ascii="Times New Roman" w:hAnsi="Times New Roman"/>
          <w:spacing w:val="-4"/>
          <w:sz w:val="28"/>
          <w:szCs w:val="28"/>
          <w:lang w:val="da-DK"/>
        </w:rPr>
        <w:t xml:space="preserve">, hầu hết các nhà máy nhiệt điện của Tổng công ty luôn đạt mức dự trữ than tối thiểu, đảm bảo an toàn cho vận hành. </w:t>
      </w:r>
    </w:p>
    <w:p w14:paraId="68DBC838" w14:textId="41F165F7" w:rsidR="002B3F13" w:rsidRPr="00897BC0" w:rsidRDefault="001779E3" w:rsidP="00874AC7">
      <w:pPr>
        <w:pStyle w:val="Char2"/>
        <w:spacing w:before="120" w:after="120" w:line="276" w:lineRule="auto"/>
        <w:ind w:firstLine="706"/>
        <w:jc w:val="both"/>
        <w:rPr>
          <w:rFonts w:ascii="Times New Roman" w:hAnsi="Times New Roman"/>
          <w:sz w:val="28"/>
          <w:szCs w:val="28"/>
          <w:lang w:val="vi-VN"/>
        </w:rPr>
      </w:pPr>
      <w:r w:rsidRPr="00897BC0">
        <w:rPr>
          <w:rFonts w:ascii="Times New Roman" w:hAnsi="Times New Roman"/>
          <w:sz w:val="28"/>
          <w:szCs w:val="28"/>
        </w:rPr>
        <w:t>T</w:t>
      </w:r>
      <w:r w:rsidR="003A13F9" w:rsidRPr="00897BC0">
        <w:rPr>
          <w:rFonts w:ascii="Times New Roman" w:hAnsi="Times New Roman"/>
          <w:sz w:val="28"/>
          <w:szCs w:val="28"/>
        </w:rPr>
        <w:t>ổng sản lượng điện EVN</w:t>
      </w:r>
      <w:r w:rsidR="003A13F9" w:rsidRPr="00897BC0">
        <w:rPr>
          <w:rFonts w:ascii="Times New Roman" w:hAnsi="Times New Roman"/>
          <w:i/>
          <w:iCs/>
          <w:sz w:val="28"/>
          <w:szCs w:val="28"/>
        </w:rPr>
        <w:t>GENCO1</w:t>
      </w:r>
      <w:r w:rsidR="003A13F9" w:rsidRPr="00897BC0">
        <w:rPr>
          <w:rFonts w:ascii="Times New Roman" w:hAnsi="Times New Roman"/>
          <w:sz w:val="28"/>
          <w:szCs w:val="28"/>
        </w:rPr>
        <w:t xml:space="preserve"> sản xuất được</w:t>
      </w:r>
      <w:r w:rsidR="00C82773" w:rsidRPr="00897BC0">
        <w:rPr>
          <w:rFonts w:ascii="Times New Roman" w:hAnsi="Times New Roman"/>
          <w:sz w:val="28"/>
          <w:szCs w:val="28"/>
        </w:rPr>
        <w:t xml:space="preserve"> trong</w:t>
      </w:r>
      <w:r w:rsidR="00024F78" w:rsidRPr="00897BC0">
        <w:rPr>
          <w:rFonts w:ascii="Times New Roman" w:hAnsi="Times New Roman"/>
          <w:sz w:val="28"/>
          <w:szCs w:val="28"/>
        </w:rPr>
        <w:t xml:space="preserve"> tháng </w:t>
      </w:r>
      <w:r w:rsidR="007B4913">
        <w:rPr>
          <w:rFonts w:ascii="Times New Roman" w:hAnsi="Times New Roman"/>
          <w:sz w:val="28"/>
          <w:szCs w:val="28"/>
        </w:rPr>
        <w:t>8</w:t>
      </w:r>
      <w:r w:rsidR="00024F78" w:rsidRPr="00897BC0">
        <w:rPr>
          <w:rFonts w:ascii="Times New Roman" w:hAnsi="Times New Roman"/>
          <w:sz w:val="28"/>
          <w:szCs w:val="28"/>
        </w:rPr>
        <w:t xml:space="preserve">/2022 là </w:t>
      </w:r>
      <w:r w:rsidR="007B4913">
        <w:rPr>
          <w:rFonts w:ascii="Times New Roman" w:hAnsi="Times New Roman"/>
          <w:bCs/>
          <w:color w:val="212121"/>
          <w:spacing w:val="-4"/>
          <w:sz w:val="28"/>
          <w:szCs w:val="28"/>
        </w:rPr>
        <w:t>2.693 triệu</w:t>
      </w:r>
      <w:r w:rsidR="00024F78" w:rsidRPr="00897BC0">
        <w:rPr>
          <w:rFonts w:ascii="Times New Roman" w:hAnsi="Times New Roman"/>
          <w:color w:val="212121"/>
          <w:spacing w:val="-4"/>
          <w:sz w:val="28"/>
          <w:szCs w:val="28"/>
        </w:rPr>
        <w:t xml:space="preserve"> kWh</w:t>
      </w:r>
      <w:r w:rsidR="00024F78" w:rsidRPr="00897BC0">
        <w:rPr>
          <w:rFonts w:ascii="Times New Roman" w:hAnsi="Times New Roman"/>
          <w:sz w:val="28"/>
          <w:szCs w:val="28"/>
        </w:rPr>
        <w:t xml:space="preserve">, đạt </w:t>
      </w:r>
      <w:r w:rsidR="00BA1581">
        <w:rPr>
          <w:rFonts w:ascii="Times New Roman" w:hAnsi="Times New Roman"/>
          <w:bCs/>
          <w:color w:val="212121"/>
          <w:spacing w:val="-4"/>
          <w:sz w:val="28"/>
          <w:szCs w:val="28"/>
        </w:rPr>
        <w:t>132,5</w:t>
      </w:r>
      <w:r w:rsidR="00024F78" w:rsidRPr="00897BC0">
        <w:rPr>
          <w:rFonts w:ascii="Times New Roman" w:hAnsi="Times New Roman"/>
          <w:bCs/>
          <w:color w:val="212121"/>
          <w:spacing w:val="-4"/>
          <w:sz w:val="28"/>
          <w:szCs w:val="28"/>
        </w:rPr>
        <w:t>%</w:t>
      </w:r>
      <w:r w:rsidR="00024F78" w:rsidRPr="00897BC0">
        <w:rPr>
          <w:rFonts w:ascii="Times New Roman" w:hAnsi="Times New Roman"/>
          <w:color w:val="212121"/>
          <w:spacing w:val="-4"/>
          <w:sz w:val="28"/>
          <w:szCs w:val="28"/>
        </w:rPr>
        <w:t xml:space="preserve"> kế hoạch được giao;</w:t>
      </w:r>
      <w:r w:rsidR="00C82773" w:rsidRPr="00897BC0">
        <w:rPr>
          <w:rFonts w:ascii="Times New Roman" w:hAnsi="Times New Roman"/>
          <w:sz w:val="28"/>
          <w:szCs w:val="28"/>
        </w:rPr>
        <w:t xml:space="preserve"> </w:t>
      </w:r>
      <w:r w:rsidR="00CD75D1" w:rsidRPr="00897BC0">
        <w:rPr>
          <w:rFonts w:ascii="Times New Roman" w:hAnsi="Times New Roman"/>
          <w:sz w:val="28"/>
          <w:szCs w:val="28"/>
        </w:rPr>
        <w:t xml:space="preserve">lũy kế </w:t>
      </w:r>
      <w:r w:rsidR="00BA1581">
        <w:rPr>
          <w:rFonts w:ascii="Times New Roman" w:hAnsi="Times New Roman"/>
          <w:sz w:val="28"/>
          <w:szCs w:val="28"/>
        </w:rPr>
        <w:t>8</w:t>
      </w:r>
      <w:r w:rsidR="00853349" w:rsidRPr="00897BC0">
        <w:rPr>
          <w:rFonts w:ascii="Times New Roman" w:hAnsi="Times New Roman"/>
          <w:sz w:val="28"/>
          <w:szCs w:val="28"/>
        </w:rPr>
        <w:t xml:space="preserve"> tháng đầ</w:t>
      </w:r>
      <w:r w:rsidR="00024F78" w:rsidRPr="00897BC0">
        <w:rPr>
          <w:rFonts w:ascii="Times New Roman" w:hAnsi="Times New Roman"/>
          <w:sz w:val="28"/>
          <w:szCs w:val="28"/>
        </w:rPr>
        <w:t>u năm, EVN</w:t>
      </w:r>
      <w:r w:rsidR="00024F78" w:rsidRPr="00897BC0">
        <w:rPr>
          <w:rFonts w:ascii="Times New Roman" w:hAnsi="Times New Roman"/>
          <w:i/>
          <w:sz w:val="28"/>
          <w:szCs w:val="28"/>
        </w:rPr>
        <w:t>GENCO1</w:t>
      </w:r>
      <w:r w:rsidR="00024F78" w:rsidRPr="00897BC0">
        <w:rPr>
          <w:rFonts w:ascii="Times New Roman" w:hAnsi="Times New Roman"/>
          <w:sz w:val="28"/>
          <w:szCs w:val="28"/>
        </w:rPr>
        <w:t xml:space="preserve"> sản xuất</w:t>
      </w:r>
      <w:r w:rsidR="003A13F9" w:rsidRPr="00897BC0">
        <w:rPr>
          <w:rFonts w:ascii="Times New Roman" w:hAnsi="Times New Roman"/>
          <w:sz w:val="28"/>
          <w:szCs w:val="28"/>
        </w:rPr>
        <w:t xml:space="preserve"> </w:t>
      </w:r>
      <w:r w:rsidR="00BA1581">
        <w:rPr>
          <w:rFonts w:ascii="Times New Roman" w:hAnsi="Times New Roman"/>
          <w:bCs/>
          <w:sz w:val="28"/>
          <w:szCs w:val="28"/>
        </w:rPr>
        <w:t>20.998 triệu</w:t>
      </w:r>
      <w:r w:rsidR="00024F78" w:rsidRPr="00897BC0">
        <w:rPr>
          <w:rFonts w:ascii="Times New Roman" w:hAnsi="Times New Roman"/>
          <w:sz w:val="28"/>
          <w:szCs w:val="28"/>
        </w:rPr>
        <w:t xml:space="preserve"> kWh, đạt </w:t>
      </w:r>
      <w:r w:rsidR="00024F78" w:rsidRPr="00897BC0">
        <w:rPr>
          <w:rFonts w:ascii="Times New Roman" w:hAnsi="Times New Roman"/>
          <w:bCs/>
          <w:sz w:val="28"/>
          <w:szCs w:val="28"/>
        </w:rPr>
        <w:t>6</w:t>
      </w:r>
      <w:r w:rsidR="00BA1581">
        <w:rPr>
          <w:rFonts w:ascii="Times New Roman" w:hAnsi="Times New Roman"/>
          <w:bCs/>
          <w:sz w:val="28"/>
          <w:szCs w:val="28"/>
        </w:rPr>
        <w:t>9</w:t>
      </w:r>
      <w:r w:rsidR="00024F78" w:rsidRPr="00897BC0">
        <w:rPr>
          <w:rFonts w:ascii="Times New Roman" w:hAnsi="Times New Roman"/>
          <w:bCs/>
          <w:sz w:val="28"/>
          <w:szCs w:val="28"/>
        </w:rPr>
        <w:t>,8%</w:t>
      </w:r>
      <w:r w:rsidR="00EC7D5D">
        <w:rPr>
          <w:rFonts w:ascii="Times New Roman" w:hAnsi="Times New Roman"/>
          <w:sz w:val="28"/>
          <w:szCs w:val="28"/>
        </w:rPr>
        <w:t xml:space="preserve"> kế hoạch</w:t>
      </w:r>
      <w:r w:rsidR="00024F78" w:rsidRPr="00897BC0">
        <w:rPr>
          <w:rFonts w:ascii="Times New Roman" w:hAnsi="Times New Roman"/>
          <w:sz w:val="28"/>
          <w:szCs w:val="28"/>
        </w:rPr>
        <w:t xml:space="preserve"> năm 2022</w:t>
      </w:r>
      <w:r w:rsidR="0055570F">
        <w:rPr>
          <w:rFonts w:ascii="Times New Roman" w:hAnsi="Times New Roman"/>
          <w:sz w:val="28"/>
          <w:szCs w:val="28"/>
        </w:rPr>
        <w:t xml:space="preserve">. </w:t>
      </w:r>
      <w:r w:rsidR="00BA1581">
        <w:rPr>
          <w:rFonts w:ascii="Times New Roman" w:hAnsi="Times New Roman"/>
          <w:sz w:val="28"/>
          <w:szCs w:val="28"/>
        </w:rPr>
        <w:t>Tất cả</w:t>
      </w:r>
      <w:r w:rsidR="0055570F">
        <w:rPr>
          <w:rFonts w:ascii="Times New Roman" w:hAnsi="Times New Roman"/>
          <w:sz w:val="28"/>
          <w:szCs w:val="28"/>
        </w:rPr>
        <w:t xml:space="preserve"> các nhà máy điện đều vượt sản lượng điện được giao trong tháng</w:t>
      </w:r>
      <w:r w:rsidR="00BA1581">
        <w:rPr>
          <w:rFonts w:ascii="Times New Roman" w:hAnsi="Times New Roman"/>
          <w:sz w:val="28"/>
          <w:szCs w:val="28"/>
        </w:rPr>
        <w:t xml:space="preserve"> (trừ Nhà máy Nhiệt điện Duyên Hải 3 không được huy động)</w:t>
      </w:r>
      <w:r w:rsidR="0055570F">
        <w:rPr>
          <w:rFonts w:ascii="Times New Roman" w:hAnsi="Times New Roman"/>
          <w:sz w:val="28"/>
          <w:szCs w:val="28"/>
        </w:rPr>
        <w:t>.</w:t>
      </w:r>
    </w:p>
    <w:p w14:paraId="07F323E4" w14:textId="2780B22E" w:rsidR="00024F78" w:rsidRPr="00CC6F0F" w:rsidRDefault="00BD7F1A" w:rsidP="00874AC7">
      <w:pPr>
        <w:spacing w:before="120" w:after="120" w:line="276" w:lineRule="auto"/>
        <w:ind w:firstLine="706"/>
        <w:jc w:val="both"/>
        <w:rPr>
          <w:sz w:val="28"/>
          <w:szCs w:val="28"/>
        </w:rPr>
      </w:pPr>
      <w:r w:rsidRPr="00250838">
        <w:rPr>
          <w:sz w:val="28"/>
          <w:szCs w:val="28"/>
        </w:rPr>
        <w:t xml:space="preserve">Về </w:t>
      </w:r>
      <w:r w:rsidR="00EC712A" w:rsidRPr="00250838">
        <w:rPr>
          <w:sz w:val="28"/>
          <w:szCs w:val="28"/>
        </w:rPr>
        <w:t>đầu tư xây dựng (ĐTXD)</w:t>
      </w:r>
      <w:r w:rsidRPr="00250838">
        <w:rPr>
          <w:sz w:val="28"/>
          <w:szCs w:val="28"/>
        </w:rPr>
        <w:t xml:space="preserve">, </w:t>
      </w:r>
      <w:r w:rsidR="00CC6F0F" w:rsidRPr="00250838">
        <w:rPr>
          <w:sz w:val="28"/>
          <w:szCs w:val="28"/>
        </w:rPr>
        <w:t>các dự án ĐTXD đang được Tổng công ty triển khai theo tiến độ được giao</w:t>
      </w:r>
      <w:r w:rsidR="00CC6F0F" w:rsidRPr="00250838">
        <w:rPr>
          <w:sz w:val="28"/>
          <w:szCs w:val="28"/>
          <w:lang w:val="vi-VN"/>
        </w:rPr>
        <w:t xml:space="preserve">. </w:t>
      </w:r>
      <w:r w:rsidR="00CC6F0F" w:rsidRPr="00250838">
        <w:rPr>
          <w:sz w:val="28"/>
          <w:szCs w:val="28"/>
        </w:rPr>
        <w:t xml:space="preserve">Tính đến hết tháng </w:t>
      </w:r>
      <w:r w:rsidR="0009736D">
        <w:rPr>
          <w:sz w:val="28"/>
          <w:szCs w:val="28"/>
        </w:rPr>
        <w:t>8</w:t>
      </w:r>
      <w:r w:rsidR="00CC6F0F" w:rsidRPr="00250838">
        <w:rPr>
          <w:sz w:val="28"/>
          <w:szCs w:val="28"/>
        </w:rPr>
        <w:t>, khối lượng thực hiện</w:t>
      </w:r>
      <w:r w:rsidR="00B31912" w:rsidRPr="00250838">
        <w:rPr>
          <w:sz w:val="28"/>
          <w:szCs w:val="28"/>
        </w:rPr>
        <w:t xml:space="preserve"> ĐTXD của EVN</w:t>
      </w:r>
      <w:r w:rsidR="00B31912" w:rsidRPr="00250838">
        <w:rPr>
          <w:i/>
          <w:iCs/>
          <w:sz w:val="28"/>
          <w:szCs w:val="28"/>
        </w:rPr>
        <w:t>GENCO1</w:t>
      </w:r>
      <w:r w:rsidR="00CC6F0F" w:rsidRPr="00250838">
        <w:rPr>
          <w:sz w:val="28"/>
          <w:szCs w:val="28"/>
        </w:rPr>
        <w:t xml:space="preserve"> đạt </w:t>
      </w:r>
      <w:r w:rsidR="0009736D">
        <w:rPr>
          <w:sz w:val="28"/>
          <w:szCs w:val="28"/>
        </w:rPr>
        <w:t>79,5</w:t>
      </w:r>
      <w:r w:rsidR="00CC6F0F" w:rsidRPr="00250838">
        <w:rPr>
          <w:sz w:val="28"/>
          <w:szCs w:val="28"/>
        </w:rPr>
        <w:t>% và giá trị giải</w:t>
      </w:r>
      <w:r w:rsidR="00CC6F0F" w:rsidRPr="00250838">
        <w:rPr>
          <w:sz w:val="28"/>
          <w:szCs w:val="28"/>
          <w:lang w:val="vi-VN"/>
        </w:rPr>
        <w:t xml:space="preserve"> ngân</w:t>
      </w:r>
      <w:r w:rsidR="00CC6F0F" w:rsidRPr="00250838">
        <w:rPr>
          <w:sz w:val="28"/>
          <w:szCs w:val="28"/>
        </w:rPr>
        <w:t xml:space="preserve"> đạt </w:t>
      </w:r>
      <w:r w:rsidR="0009736D">
        <w:rPr>
          <w:sz w:val="28"/>
          <w:szCs w:val="28"/>
        </w:rPr>
        <w:t>80,2</w:t>
      </w:r>
      <w:r w:rsidR="00CC6F0F" w:rsidRPr="00250838">
        <w:rPr>
          <w:sz w:val="28"/>
          <w:szCs w:val="28"/>
        </w:rPr>
        <w:t>% kế hoạch năm 2022</w:t>
      </w:r>
      <w:r w:rsidR="00CC6F0F" w:rsidRPr="00250838">
        <w:rPr>
          <w:sz w:val="28"/>
          <w:szCs w:val="28"/>
          <w:lang w:val="vi-VN"/>
        </w:rPr>
        <w:t xml:space="preserve"> </w:t>
      </w:r>
      <w:r w:rsidR="00CC6F0F" w:rsidRPr="00250838">
        <w:rPr>
          <w:sz w:val="28"/>
          <w:szCs w:val="28"/>
        </w:rPr>
        <w:t xml:space="preserve">(bao gồm </w:t>
      </w:r>
      <w:r w:rsidR="00CC6F0F" w:rsidRPr="00250838">
        <w:rPr>
          <w:sz w:val="28"/>
          <w:szCs w:val="28"/>
          <w:lang w:val="vi-VN"/>
        </w:rPr>
        <w:t>giải ngân cho khối lượng thực hiện của năm trước)</w:t>
      </w:r>
      <w:r w:rsidR="00CC6F0F" w:rsidRPr="00250838">
        <w:rPr>
          <w:sz w:val="28"/>
          <w:szCs w:val="28"/>
        </w:rPr>
        <w:t>.</w:t>
      </w:r>
      <w:r w:rsidR="00250838" w:rsidRPr="00250838">
        <w:rPr>
          <w:sz w:val="28"/>
          <w:szCs w:val="28"/>
        </w:rPr>
        <w:t xml:space="preserve"> </w:t>
      </w:r>
    </w:p>
    <w:p w14:paraId="6C67EF44" w14:textId="18C314E4" w:rsidR="00CC5A71" w:rsidRPr="00977D37" w:rsidRDefault="00CC5A71" w:rsidP="00977D37">
      <w:pPr>
        <w:pStyle w:val="ListParagraph"/>
        <w:spacing w:before="120" w:after="120" w:line="276" w:lineRule="auto"/>
        <w:ind w:left="0" w:firstLine="567"/>
        <w:jc w:val="both"/>
        <w:rPr>
          <w:spacing w:val="-2"/>
          <w:sz w:val="28"/>
          <w:szCs w:val="28"/>
          <w:shd w:val="clear" w:color="auto" w:fill="FFFFFF"/>
          <w:lang w:val="vi-VN"/>
        </w:rPr>
      </w:pPr>
      <w:r w:rsidRPr="00CC5A71">
        <w:rPr>
          <w:sz w:val="28"/>
          <w:szCs w:val="28"/>
        </w:rPr>
        <w:t>Công tác chuyển đổi số được EVN</w:t>
      </w:r>
      <w:r w:rsidRPr="00CC5A71">
        <w:rPr>
          <w:i/>
          <w:sz w:val="28"/>
          <w:szCs w:val="28"/>
        </w:rPr>
        <w:t xml:space="preserve">GENCO1 </w:t>
      </w:r>
      <w:r w:rsidRPr="00CC5A71">
        <w:rPr>
          <w:sz w:val="28"/>
          <w:szCs w:val="28"/>
        </w:rPr>
        <w:t xml:space="preserve">tiếp tục triển khai thực hiện, tập trung trong các lĩnh vực tạo nền tảng số, quản trị, sản xuất, ĐTXD, tài chính kế toán… Trong tháng </w:t>
      </w:r>
      <w:r w:rsidR="00977D37">
        <w:rPr>
          <w:sz w:val="28"/>
          <w:szCs w:val="28"/>
        </w:rPr>
        <w:t>8</w:t>
      </w:r>
      <w:r w:rsidRPr="00CC5A71">
        <w:rPr>
          <w:sz w:val="28"/>
          <w:szCs w:val="28"/>
        </w:rPr>
        <w:t xml:space="preserve">/2022, Tổng công ty đã </w:t>
      </w:r>
      <w:r w:rsidR="00977D37">
        <w:rPr>
          <w:sz w:val="28"/>
          <w:szCs w:val="28"/>
        </w:rPr>
        <w:t>tổ chức thành công C</w:t>
      </w:r>
      <w:r w:rsidRPr="00CC5A71">
        <w:rPr>
          <w:sz w:val="28"/>
          <w:szCs w:val="28"/>
        </w:rPr>
        <w:t>uộc thi trắc nghiệm kiến thức về chuyển đổi số trên mạng Internet</w:t>
      </w:r>
      <w:r w:rsidR="00977D37">
        <w:rPr>
          <w:sz w:val="28"/>
          <w:szCs w:val="28"/>
        </w:rPr>
        <w:t xml:space="preserve">, </w:t>
      </w:r>
      <w:r w:rsidR="00977D37">
        <w:rPr>
          <w:spacing w:val="-2"/>
          <w:sz w:val="28"/>
          <w:szCs w:val="28"/>
          <w:shd w:val="clear" w:color="auto" w:fill="FFFFFF"/>
        </w:rPr>
        <w:t>thu hút đông đảo CBCNV và tạo được hiệu ứng truyền thông tích cực</w:t>
      </w:r>
      <w:r w:rsidRPr="00CC5A71">
        <w:rPr>
          <w:sz w:val="28"/>
          <w:szCs w:val="28"/>
        </w:rPr>
        <w:t>.</w:t>
      </w:r>
    </w:p>
    <w:p w14:paraId="77F3CA69" w14:textId="57BB3435" w:rsidR="00AE0AE3" w:rsidRDefault="00CC5A71" w:rsidP="00874AC7">
      <w:pPr>
        <w:spacing w:before="120" w:after="120" w:line="276" w:lineRule="auto"/>
        <w:ind w:firstLine="706"/>
        <w:jc w:val="both"/>
        <w:rPr>
          <w:sz w:val="28"/>
          <w:szCs w:val="28"/>
        </w:rPr>
      </w:pPr>
      <w:r>
        <w:rPr>
          <w:sz w:val="28"/>
          <w:szCs w:val="28"/>
        </w:rPr>
        <w:t xml:space="preserve">Đối với công tác </w:t>
      </w:r>
      <w:r w:rsidR="001852F9">
        <w:rPr>
          <w:sz w:val="28"/>
          <w:szCs w:val="28"/>
        </w:rPr>
        <w:t>đảm bảo vận hành an toàn nhà máy điện trong mùa mưa bão</w:t>
      </w:r>
      <w:r>
        <w:rPr>
          <w:sz w:val="28"/>
          <w:szCs w:val="28"/>
        </w:rPr>
        <w:t>, EVN</w:t>
      </w:r>
      <w:r w:rsidRPr="00CC5A71">
        <w:rPr>
          <w:i/>
          <w:sz w:val="28"/>
          <w:szCs w:val="28"/>
        </w:rPr>
        <w:t>GENCO1</w:t>
      </w:r>
      <w:r>
        <w:rPr>
          <w:sz w:val="28"/>
          <w:szCs w:val="28"/>
        </w:rPr>
        <w:t xml:space="preserve"> đã </w:t>
      </w:r>
      <w:r w:rsidR="00E52B5D">
        <w:rPr>
          <w:sz w:val="28"/>
          <w:szCs w:val="28"/>
        </w:rPr>
        <w:t xml:space="preserve">chỉ đạo và cùng </w:t>
      </w:r>
      <w:r>
        <w:rPr>
          <w:sz w:val="28"/>
          <w:szCs w:val="28"/>
        </w:rPr>
        <w:t>c</w:t>
      </w:r>
      <w:r w:rsidR="00AE0AE3">
        <w:rPr>
          <w:sz w:val="28"/>
          <w:szCs w:val="28"/>
        </w:rPr>
        <w:t xml:space="preserve">ác đơn vị </w:t>
      </w:r>
      <w:r w:rsidR="00E52B5D">
        <w:rPr>
          <w:sz w:val="28"/>
          <w:szCs w:val="28"/>
        </w:rPr>
        <w:t xml:space="preserve">chủ động trong công tác </w:t>
      </w:r>
      <w:r w:rsidR="001852F9">
        <w:rPr>
          <w:sz w:val="28"/>
          <w:szCs w:val="28"/>
        </w:rPr>
        <w:t>chuẩn bị</w:t>
      </w:r>
      <w:r w:rsidR="00E52B5D">
        <w:rPr>
          <w:sz w:val="28"/>
          <w:szCs w:val="28"/>
        </w:rPr>
        <w:t>, bố trí lực lượng trực</w:t>
      </w:r>
      <w:r w:rsidR="00916D96">
        <w:rPr>
          <w:sz w:val="28"/>
          <w:szCs w:val="28"/>
        </w:rPr>
        <w:t xml:space="preserve"> theo dõi và cung cấp thông tin kịp thời về tình hình mưa bão. Nhờ đó, EVN</w:t>
      </w:r>
      <w:r w:rsidR="00916D96" w:rsidRPr="00916D96">
        <w:rPr>
          <w:i/>
          <w:iCs/>
          <w:sz w:val="28"/>
          <w:szCs w:val="28"/>
        </w:rPr>
        <w:t>GENCO1</w:t>
      </w:r>
      <w:r w:rsidR="00916D96">
        <w:rPr>
          <w:sz w:val="28"/>
          <w:szCs w:val="28"/>
        </w:rPr>
        <w:t xml:space="preserve"> không có thiệt hại về người và tài sản do bão gây ra, </w:t>
      </w:r>
      <w:r w:rsidR="00AE0AE3">
        <w:rPr>
          <w:sz w:val="28"/>
          <w:szCs w:val="28"/>
        </w:rPr>
        <w:t>đảm bảo vận hành an toàn các tổ máy phát điện, hoàn thành mục tiêu cắt giảm lũ, hạn chế thiệt hại cho người dân khu vực hạ du.</w:t>
      </w:r>
      <w:r w:rsidR="00E52B5D" w:rsidRPr="00E52B5D">
        <w:t xml:space="preserve"> </w:t>
      </w:r>
    </w:p>
    <w:p w14:paraId="14402B4D" w14:textId="77A74E33" w:rsidR="00977D37" w:rsidRPr="00D46E91" w:rsidRDefault="005B1898" w:rsidP="002E0A85">
      <w:pPr>
        <w:tabs>
          <w:tab w:val="left" w:pos="709"/>
        </w:tabs>
        <w:spacing w:before="120" w:after="120" w:line="276" w:lineRule="auto"/>
        <w:ind w:firstLine="567"/>
        <w:contextualSpacing/>
        <w:jc w:val="both"/>
        <w:rPr>
          <w:sz w:val="28"/>
          <w:szCs w:val="28"/>
        </w:rPr>
      </w:pPr>
      <w:r w:rsidRPr="00BD7C0F">
        <w:rPr>
          <w:sz w:val="28"/>
          <w:szCs w:val="28"/>
          <w:lang w:val="vi-VN"/>
        </w:rPr>
        <w:t xml:space="preserve">Trong tháng </w:t>
      </w:r>
      <w:r w:rsidR="00977D37">
        <w:rPr>
          <w:sz w:val="28"/>
          <w:szCs w:val="28"/>
        </w:rPr>
        <w:t>8</w:t>
      </w:r>
      <w:r w:rsidRPr="00BD7C0F">
        <w:rPr>
          <w:sz w:val="28"/>
          <w:szCs w:val="28"/>
          <w:lang w:val="vi-VN"/>
        </w:rPr>
        <w:t xml:space="preserve">/2022, </w:t>
      </w:r>
      <w:r>
        <w:rPr>
          <w:sz w:val="28"/>
          <w:szCs w:val="28"/>
        </w:rPr>
        <w:t>EVN</w:t>
      </w:r>
      <w:r w:rsidRPr="00CC5A71">
        <w:rPr>
          <w:i/>
          <w:sz w:val="28"/>
          <w:szCs w:val="28"/>
        </w:rPr>
        <w:t>GENCO1</w:t>
      </w:r>
      <w:r>
        <w:rPr>
          <w:sz w:val="28"/>
          <w:szCs w:val="28"/>
        </w:rPr>
        <w:t xml:space="preserve"> cùng các đơn vị tập trung triển khai </w:t>
      </w:r>
      <w:r w:rsidR="00977D37">
        <w:rPr>
          <w:sz w:val="28"/>
          <w:szCs w:val="28"/>
        </w:rPr>
        <w:t>các hoạt động an sinh xã hội hướng đến những đối tượng có hoàn cảnh khó khăn</w:t>
      </w:r>
      <w:r w:rsidR="00977D37">
        <w:rPr>
          <w:sz w:val="28"/>
          <w:szCs w:val="28"/>
        </w:rPr>
        <w:t xml:space="preserve"> như hỗ trợ kinh phí xây dựng nhà tình nghĩa, nhà đại đoàn kết, trao tặng nhiều bộ máy tính cho các trường học tại địa phương</w:t>
      </w:r>
      <w:r w:rsidR="002E0A85">
        <w:rPr>
          <w:sz w:val="28"/>
          <w:szCs w:val="28"/>
        </w:rPr>
        <w:t xml:space="preserve"> nơi đơn vị hoạt động. Chương trình thả </w:t>
      </w:r>
      <w:r w:rsidR="00977D37" w:rsidRPr="00D46E91">
        <w:rPr>
          <w:color w:val="000000"/>
          <w:sz w:val="28"/>
          <w:szCs w:val="28"/>
          <w:shd w:val="clear" w:color="auto" w:fill="FFFFFF"/>
        </w:rPr>
        <w:t xml:space="preserve">cá giống xuống lòng hồ </w:t>
      </w:r>
      <w:r w:rsidR="002E0A85">
        <w:rPr>
          <w:color w:val="000000"/>
          <w:sz w:val="28"/>
          <w:szCs w:val="28"/>
          <w:shd w:val="clear" w:color="auto" w:fill="FFFFFF"/>
        </w:rPr>
        <w:t>tiếp tục được các đơn vị thủy điện triển khai,</w:t>
      </w:r>
      <w:r w:rsidR="00977D37" w:rsidRPr="00D46E91">
        <w:rPr>
          <w:sz w:val="28"/>
          <w:szCs w:val="28"/>
        </w:rPr>
        <w:t xml:space="preserve"> </w:t>
      </w:r>
      <w:r w:rsidR="002E0A85">
        <w:rPr>
          <w:sz w:val="28"/>
          <w:szCs w:val="28"/>
        </w:rPr>
        <w:t>góp phần</w:t>
      </w:r>
      <w:r w:rsidR="00977D37" w:rsidRPr="00D46E91">
        <w:rPr>
          <w:color w:val="000000"/>
          <w:sz w:val="28"/>
          <w:szCs w:val="28"/>
          <w:shd w:val="clear" w:color="auto" w:fill="FFFFFF"/>
        </w:rPr>
        <w:t xml:space="preserve"> bổ sung, tái tạo, phát triển bền vững nguồn lợi thủy sản tự nhiên trong khu vực hồ chứa, đồng thời góp phần ổn định sinh kế, cải thiện đời sống và nâng cao thu nhập cho người dân địa phương.</w:t>
      </w:r>
    </w:p>
    <w:p w14:paraId="5B230029" w14:textId="77777777" w:rsidR="00B25F18" w:rsidRDefault="00B25F18" w:rsidP="00977D37">
      <w:pPr>
        <w:tabs>
          <w:tab w:val="left" w:pos="709"/>
        </w:tabs>
        <w:spacing w:before="120" w:after="120" w:line="276" w:lineRule="auto"/>
        <w:ind w:firstLine="706"/>
        <w:contextualSpacing/>
        <w:jc w:val="both"/>
        <w:rPr>
          <w:rStyle w:val="Strong"/>
          <w:sz w:val="28"/>
          <w:szCs w:val="28"/>
        </w:rPr>
      </w:pPr>
    </w:p>
    <w:p w14:paraId="78C5DC52" w14:textId="745E279F" w:rsidR="00C62E05" w:rsidRPr="000602DB" w:rsidRDefault="00C62E05" w:rsidP="00977D37">
      <w:pPr>
        <w:tabs>
          <w:tab w:val="left" w:pos="709"/>
        </w:tabs>
        <w:spacing w:before="120" w:after="120" w:line="276" w:lineRule="auto"/>
        <w:ind w:firstLine="706"/>
        <w:contextualSpacing/>
        <w:jc w:val="both"/>
        <w:rPr>
          <w:sz w:val="28"/>
          <w:szCs w:val="28"/>
          <w:lang w:val="vi-VN"/>
        </w:rPr>
      </w:pPr>
      <w:r w:rsidRPr="00AB15D6">
        <w:rPr>
          <w:rStyle w:val="Strong"/>
          <w:sz w:val="28"/>
          <w:szCs w:val="28"/>
        </w:rPr>
        <w:lastRenderedPageBreak/>
        <w:t xml:space="preserve">Nhiệm vụ trọng tâm </w:t>
      </w:r>
      <w:r w:rsidR="00373913">
        <w:rPr>
          <w:rStyle w:val="Strong"/>
          <w:sz w:val="28"/>
          <w:szCs w:val="28"/>
        </w:rPr>
        <w:t>tháng</w:t>
      </w:r>
      <w:r w:rsidR="00B014E8" w:rsidRPr="00AB15D6">
        <w:rPr>
          <w:rStyle w:val="Strong"/>
          <w:sz w:val="28"/>
          <w:szCs w:val="28"/>
        </w:rPr>
        <w:t xml:space="preserve"> </w:t>
      </w:r>
      <w:r w:rsidR="001F1BD1">
        <w:rPr>
          <w:rStyle w:val="Strong"/>
          <w:sz w:val="28"/>
          <w:szCs w:val="28"/>
        </w:rPr>
        <w:t>9</w:t>
      </w:r>
      <w:r w:rsidR="000602DB">
        <w:rPr>
          <w:rStyle w:val="Strong"/>
          <w:sz w:val="28"/>
          <w:szCs w:val="28"/>
          <w:lang w:val="vi-VN"/>
        </w:rPr>
        <w:t>/2022</w:t>
      </w:r>
    </w:p>
    <w:p w14:paraId="674F28DB" w14:textId="2696882D" w:rsidR="0022294A" w:rsidRPr="00D330E1" w:rsidRDefault="007064DD" w:rsidP="00874AC7">
      <w:pPr>
        <w:spacing w:before="120" w:after="120" w:line="276" w:lineRule="auto"/>
        <w:ind w:firstLine="706"/>
        <w:jc w:val="both"/>
        <w:outlineLvl w:val="0"/>
        <w:rPr>
          <w:sz w:val="28"/>
          <w:szCs w:val="28"/>
          <w:lang w:val="vi-VN"/>
        </w:rPr>
      </w:pPr>
      <w:r>
        <w:rPr>
          <w:sz w:val="28"/>
          <w:szCs w:val="28"/>
        </w:rPr>
        <w:t xml:space="preserve">Tháng </w:t>
      </w:r>
      <w:r w:rsidR="0089714C">
        <w:rPr>
          <w:sz w:val="28"/>
          <w:szCs w:val="28"/>
        </w:rPr>
        <w:t>8</w:t>
      </w:r>
      <w:r w:rsidR="00D60952">
        <w:rPr>
          <w:sz w:val="28"/>
          <w:szCs w:val="28"/>
          <w:lang w:val="vi-VN"/>
        </w:rPr>
        <w:t>/2022</w:t>
      </w:r>
      <w:r w:rsidR="003A13F9" w:rsidRPr="00AB15D6">
        <w:rPr>
          <w:sz w:val="28"/>
          <w:szCs w:val="28"/>
        </w:rPr>
        <w:t xml:space="preserve">, </w:t>
      </w:r>
      <w:r w:rsidR="00EB6B8A">
        <w:rPr>
          <w:sz w:val="28"/>
          <w:szCs w:val="28"/>
        </w:rPr>
        <w:t>nhiệm</w:t>
      </w:r>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r w:rsidR="00665C2E" w:rsidRPr="00AB15D6">
        <w:rPr>
          <w:sz w:val="28"/>
          <w:szCs w:val="28"/>
        </w:rPr>
        <w:t xml:space="preserve">đặt lên hàng đầu </w:t>
      </w:r>
      <w:r w:rsidR="00567E40">
        <w:rPr>
          <w:sz w:val="28"/>
          <w:szCs w:val="28"/>
        </w:rPr>
        <w:t>là</w:t>
      </w:r>
      <w:r w:rsidR="00665C2E" w:rsidRPr="00AB15D6">
        <w:rPr>
          <w:sz w:val="28"/>
          <w:szCs w:val="28"/>
        </w:rPr>
        <w:t xml:space="preserve"> </w:t>
      </w:r>
      <w:r w:rsidR="00EB6B8A">
        <w:rPr>
          <w:sz w:val="28"/>
          <w:szCs w:val="28"/>
        </w:rPr>
        <w:t>sản</w:t>
      </w:r>
      <w:r w:rsidR="00EB6B8A">
        <w:rPr>
          <w:sz w:val="28"/>
          <w:szCs w:val="28"/>
          <w:lang w:val="vi-VN"/>
        </w:rPr>
        <w:t xml:space="preserve"> xuất</w:t>
      </w:r>
      <w:r w:rsidR="00665C2E">
        <w:rPr>
          <w:sz w:val="28"/>
          <w:szCs w:val="28"/>
        </w:rPr>
        <w:t xml:space="preserve"> </w:t>
      </w:r>
      <w:r w:rsidR="0089714C" w:rsidRPr="0089714C">
        <w:rPr>
          <w:sz w:val="28"/>
          <w:szCs w:val="28"/>
        </w:rPr>
        <w:t>2.</w:t>
      </w:r>
      <w:r w:rsidR="00DE1B82">
        <w:rPr>
          <w:sz w:val="28"/>
          <w:szCs w:val="28"/>
        </w:rPr>
        <w:t>629</w:t>
      </w:r>
      <w:r w:rsidR="0089714C">
        <w:rPr>
          <w:b/>
        </w:rPr>
        <w:t xml:space="preserve"> </w:t>
      </w:r>
      <w:r w:rsidR="00665C2E">
        <w:rPr>
          <w:sz w:val="28"/>
          <w:szCs w:val="28"/>
        </w:rPr>
        <w:t>triệu kWh</w:t>
      </w:r>
      <w:r w:rsidR="00103532">
        <w:rPr>
          <w:sz w:val="28"/>
          <w:szCs w:val="28"/>
        </w:rPr>
        <w:t>,</w:t>
      </w:r>
      <w:r w:rsidR="00D5519B">
        <w:rPr>
          <w:sz w:val="28"/>
          <w:szCs w:val="28"/>
        </w:rPr>
        <w:t xml:space="preserve"> </w:t>
      </w:r>
      <w:r w:rsidR="00ED7B20">
        <w:rPr>
          <w:sz w:val="28"/>
          <w:szCs w:val="28"/>
          <w:lang w:val="vi-VN"/>
        </w:rPr>
        <w:t>trên cơ sở tăng cường công tác sửa chữa bảo dưỡng</w:t>
      </w:r>
      <w:r w:rsidR="00DE1B82">
        <w:rPr>
          <w:sz w:val="28"/>
          <w:szCs w:val="28"/>
        </w:rPr>
        <w:t xml:space="preserve"> định kỳ</w:t>
      </w:r>
      <w:r w:rsidR="00ED7B20">
        <w:rPr>
          <w:sz w:val="28"/>
          <w:szCs w:val="28"/>
          <w:lang w:val="vi-VN"/>
        </w:rPr>
        <w:t>, đảm bảo cung cấp than cho sản xuất điện với các nhà máy nhiệt điện và vận hành ổn định, tuân thủ các quy định về quy trình vận hành liên hồ chứa với các nhà máy thuỷ điện.</w:t>
      </w:r>
      <w:r w:rsidR="001E6F73">
        <w:rPr>
          <w:sz w:val="28"/>
          <w:szCs w:val="28"/>
          <w:lang w:val="vi-VN"/>
        </w:rPr>
        <w:t xml:space="preserve"> </w:t>
      </w:r>
      <w:r w:rsidR="001E6F73">
        <w:rPr>
          <w:sz w:val="28"/>
          <w:szCs w:val="28"/>
        </w:rPr>
        <w:t>EVN</w:t>
      </w:r>
      <w:r w:rsidR="001E6F73" w:rsidRPr="00665C2E">
        <w:rPr>
          <w:i/>
          <w:iCs/>
          <w:sz w:val="28"/>
          <w:szCs w:val="28"/>
        </w:rPr>
        <w:t>GENCO1</w:t>
      </w:r>
      <w:r w:rsidR="001E6F73">
        <w:rPr>
          <w:i/>
          <w:iCs/>
          <w:sz w:val="28"/>
          <w:szCs w:val="28"/>
          <w:lang w:val="vi-VN"/>
        </w:rPr>
        <w:t xml:space="preserve"> </w:t>
      </w:r>
      <w:r w:rsidR="00D5519B">
        <w:rPr>
          <w:iCs/>
          <w:sz w:val="28"/>
          <w:szCs w:val="28"/>
        </w:rPr>
        <w:t xml:space="preserve">cũng sẽ </w:t>
      </w:r>
      <w:r w:rsidR="00D5519B">
        <w:rPr>
          <w:sz w:val="28"/>
          <w:szCs w:val="28"/>
        </w:rPr>
        <w:t>tiếp tục duy trì có hiệu quả các</w:t>
      </w:r>
      <w:r w:rsidR="00D330E1" w:rsidRPr="00D330E1">
        <w:rPr>
          <w:sz w:val="28"/>
          <w:szCs w:val="28"/>
          <w:shd w:val="clear" w:color="auto" w:fill="FFFFFF"/>
        </w:rPr>
        <w:t xml:space="preserve"> giải pháp để vận hành </w:t>
      </w:r>
      <w:r w:rsidR="00AA067E">
        <w:rPr>
          <w:sz w:val="28"/>
          <w:szCs w:val="28"/>
          <w:shd w:val="clear" w:color="auto" w:fill="FFFFFF"/>
        </w:rPr>
        <w:t xml:space="preserve">các </w:t>
      </w:r>
      <w:r w:rsidR="00D330E1" w:rsidRPr="00D330E1">
        <w:rPr>
          <w:sz w:val="28"/>
          <w:szCs w:val="28"/>
          <w:shd w:val="clear" w:color="auto" w:fill="FFFFFF"/>
        </w:rPr>
        <w:t>nhà máy</w:t>
      </w:r>
      <w:r w:rsidR="00AA067E">
        <w:rPr>
          <w:sz w:val="28"/>
          <w:szCs w:val="28"/>
          <w:shd w:val="clear" w:color="auto" w:fill="FFFFFF"/>
        </w:rPr>
        <w:t xml:space="preserve"> thủy điện</w:t>
      </w:r>
      <w:r w:rsidR="00D330E1" w:rsidRPr="00D330E1">
        <w:rPr>
          <w:sz w:val="28"/>
          <w:szCs w:val="28"/>
          <w:shd w:val="clear" w:color="auto" w:fill="FFFFFF"/>
        </w:rPr>
        <w:t xml:space="preserve"> an toàn trong mùa mưa bão,</w:t>
      </w:r>
      <w:r w:rsidR="00D5519B">
        <w:rPr>
          <w:sz w:val="28"/>
          <w:szCs w:val="28"/>
          <w:shd w:val="clear" w:color="auto" w:fill="FFFFFF"/>
        </w:rPr>
        <w:t xml:space="preserve"> góp phần</w:t>
      </w:r>
      <w:r w:rsidR="00D330E1" w:rsidRPr="00D330E1">
        <w:rPr>
          <w:sz w:val="28"/>
          <w:szCs w:val="28"/>
          <w:shd w:val="clear" w:color="auto" w:fill="FFFFFF"/>
        </w:rPr>
        <w:t xml:space="preserve"> phòng, chống, giảm nhẹ thiệt hại do bão lũ cho người dân khu vực hạ du.</w:t>
      </w:r>
      <w:r w:rsidR="001E6F73" w:rsidRPr="00D330E1">
        <w:rPr>
          <w:sz w:val="28"/>
          <w:szCs w:val="28"/>
          <w:lang w:val="vi-VN"/>
        </w:rPr>
        <w:t xml:space="preserve"> </w:t>
      </w:r>
    </w:p>
    <w:p w14:paraId="6E41DD1F" w14:textId="4EF86760" w:rsidR="00874AC7" w:rsidRPr="006A49A9" w:rsidRDefault="00874AC7" w:rsidP="00874AC7">
      <w:pPr>
        <w:pStyle w:val="Header"/>
        <w:tabs>
          <w:tab w:val="clear" w:pos="4320"/>
          <w:tab w:val="clear" w:pos="8640"/>
          <w:tab w:val="num" w:pos="1440"/>
        </w:tabs>
        <w:spacing w:after="120" w:line="276" w:lineRule="auto"/>
        <w:ind w:firstLine="706"/>
        <w:rPr>
          <w:b/>
          <w:sz w:val="28"/>
          <w:szCs w:val="28"/>
          <w:u w:val="single"/>
          <w:lang w:val="vi-VN"/>
        </w:rPr>
      </w:pPr>
      <w:r w:rsidRPr="006A49A9">
        <w:rPr>
          <w:sz w:val="28"/>
          <w:szCs w:val="28"/>
          <w:shd w:val="clear" w:color="auto" w:fill="FFFFFF"/>
        </w:rPr>
        <w:t xml:space="preserve">Công tác </w:t>
      </w:r>
      <w:r w:rsidR="001356D7">
        <w:rPr>
          <w:sz w:val="28"/>
          <w:szCs w:val="28"/>
          <w:shd w:val="clear" w:color="auto" w:fill="FFFFFF"/>
        </w:rPr>
        <w:t xml:space="preserve">ĐTXD, </w:t>
      </w:r>
      <w:r w:rsidRPr="006A49A9">
        <w:rPr>
          <w:sz w:val="28"/>
          <w:szCs w:val="28"/>
          <w:shd w:val="clear" w:color="auto" w:fill="FFFFFF"/>
        </w:rPr>
        <w:t>chuyển đổi số và các công tác khác vẫn sẽ được EVN</w:t>
      </w:r>
      <w:r w:rsidRPr="008A400F">
        <w:rPr>
          <w:i/>
          <w:iCs/>
          <w:sz w:val="28"/>
          <w:szCs w:val="28"/>
          <w:shd w:val="clear" w:color="auto" w:fill="FFFFFF"/>
        </w:rPr>
        <w:t>GENCO1</w:t>
      </w:r>
      <w:r w:rsidRPr="006A49A9">
        <w:rPr>
          <w:sz w:val="28"/>
          <w:szCs w:val="28"/>
          <w:shd w:val="clear" w:color="auto" w:fill="FFFFFF"/>
        </w:rPr>
        <w:t xml:space="preserve"> triển khai theo kế hoạch. Hoạt động SXKD - ĐTXD của Tổng công ty sẽ thực hiện phù hợp với chủ đề năm của Tập đoàn “Thích ứng an toàn, linh hoạt và hiệu quả” 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751009027">
    <w:abstractNumId w:val="1"/>
  </w:num>
  <w:num w:numId="2" w16cid:durableId="1997221520">
    <w:abstractNumId w:val="0"/>
  </w:num>
  <w:num w:numId="3" w16cid:durableId="200258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24F78"/>
    <w:rsid w:val="000602DB"/>
    <w:rsid w:val="00060CAD"/>
    <w:rsid w:val="0006198B"/>
    <w:rsid w:val="000641A4"/>
    <w:rsid w:val="00087B5B"/>
    <w:rsid w:val="00087D88"/>
    <w:rsid w:val="0009736D"/>
    <w:rsid w:val="000B2225"/>
    <w:rsid w:val="000C6CC6"/>
    <w:rsid w:val="000E3A41"/>
    <w:rsid w:val="000F5141"/>
    <w:rsid w:val="00100847"/>
    <w:rsid w:val="00103532"/>
    <w:rsid w:val="00106A2E"/>
    <w:rsid w:val="001356D7"/>
    <w:rsid w:val="00150437"/>
    <w:rsid w:val="00150C74"/>
    <w:rsid w:val="00154341"/>
    <w:rsid w:val="00164120"/>
    <w:rsid w:val="00170B8D"/>
    <w:rsid w:val="00173473"/>
    <w:rsid w:val="00177728"/>
    <w:rsid w:val="001779E3"/>
    <w:rsid w:val="00180489"/>
    <w:rsid w:val="001852F9"/>
    <w:rsid w:val="00193EB2"/>
    <w:rsid w:val="001A1646"/>
    <w:rsid w:val="001A57D3"/>
    <w:rsid w:val="001B3681"/>
    <w:rsid w:val="001B5E81"/>
    <w:rsid w:val="001D3A83"/>
    <w:rsid w:val="001E6C66"/>
    <w:rsid w:val="001E6F73"/>
    <w:rsid w:val="001F1BD1"/>
    <w:rsid w:val="001F1E5F"/>
    <w:rsid w:val="001F2B43"/>
    <w:rsid w:val="001F4220"/>
    <w:rsid w:val="00203EAE"/>
    <w:rsid w:val="0020612E"/>
    <w:rsid w:val="002103DE"/>
    <w:rsid w:val="00211813"/>
    <w:rsid w:val="00214D31"/>
    <w:rsid w:val="0022294A"/>
    <w:rsid w:val="00227EFE"/>
    <w:rsid w:val="0024567E"/>
    <w:rsid w:val="00247C38"/>
    <w:rsid w:val="00250838"/>
    <w:rsid w:val="002656A2"/>
    <w:rsid w:val="002833C3"/>
    <w:rsid w:val="00292E4D"/>
    <w:rsid w:val="00292F7F"/>
    <w:rsid w:val="00295CB6"/>
    <w:rsid w:val="002B3E92"/>
    <w:rsid w:val="002B3F13"/>
    <w:rsid w:val="002C1216"/>
    <w:rsid w:val="002C1B08"/>
    <w:rsid w:val="002C5DF1"/>
    <w:rsid w:val="002C64CD"/>
    <w:rsid w:val="002D3D68"/>
    <w:rsid w:val="002E0A85"/>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A6D6C"/>
    <w:rsid w:val="004B727E"/>
    <w:rsid w:val="004C6FC9"/>
    <w:rsid w:val="004E02CF"/>
    <w:rsid w:val="004F0243"/>
    <w:rsid w:val="004F4829"/>
    <w:rsid w:val="004F5193"/>
    <w:rsid w:val="00525266"/>
    <w:rsid w:val="0052668D"/>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600AE"/>
    <w:rsid w:val="00795973"/>
    <w:rsid w:val="007B3C8A"/>
    <w:rsid w:val="007B4913"/>
    <w:rsid w:val="007B6F13"/>
    <w:rsid w:val="007C669D"/>
    <w:rsid w:val="007E3870"/>
    <w:rsid w:val="007E67F5"/>
    <w:rsid w:val="00803375"/>
    <w:rsid w:val="00824C24"/>
    <w:rsid w:val="00824F97"/>
    <w:rsid w:val="00837F84"/>
    <w:rsid w:val="00853349"/>
    <w:rsid w:val="00855A02"/>
    <w:rsid w:val="00856296"/>
    <w:rsid w:val="008677F1"/>
    <w:rsid w:val="00873CA6"/>
    <w:rsid w:val="00874AC7"/>
    <w:rsid w:val="0089413E"/>
    <w:rsid w:val="00895AD9"/>
    <w:rsid w:val="0089714C"/>
    <w:rsid w:val="00897252"/>
    <w:rsid w:val="00897BC0"/>
    <w:rsid w:val="008B17CD"/>
    <w:rsid w:val="008C495D"/>
    <w:rsid w:val="008C6923"/>
    <w:rsid w:val="008E0706"/>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8003E"/>
    <w:rsid w:val="00B96523"/>
    <w:rsid w:val="00B97F74"/>
    <w:rsid w:val="00BA1581"/>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4BFE"/>
    <w:rsid w:val="00CC5A71"/>
    <w:rsid w:val="00CC6F0F"/>
    <w:rsid w:val="00CC7D45"/>
    <w:rsid w:val="00CD42DF"/>
    <w:rsid w:val="00CD75D1"/>
    <w:rsid w:val="00CF5713"/>
    <w:rsid w:val="00D03D3A"/>
    <w:rsid w:val="00D20A4B"/>
    <w:rsid w:val="00D310A1"/>
    <w:rsid w:val="00D31A01"/>
    <w:rsid w:val="00D330E1"/>
    <w:rsid w:val="00D4200B"/>
    <w:rsid w:val="00D5519B"/>
    <w:rsid w:val="00D60952"/>
    <w:rsid w:val="00D62BF2"/>
    <w:rsid w:val="00D9216D"/>
    <w:rsid w:val="00DA0799"/>
    <w:rsid w:val="00DA5412"/>
    <w:rsid w:val="00DB739A"/>
    <w:rsid w:val="00DC1469"/>
    <w:rsid w:val="00DC74EA"/>
    <w:rsid w:val="00DD3A5E"/>
    <w:rsid w:val="00DD63D6"/>
    <w:rsid w:val="00DE1B82"/>
    <w:rsid w:val="00DE479B"/>
    <w:rsid w:val="00DF69B9"/>
    <w:rsid w:val="00E0138B"/>
    <w:rsid w:val="00E05B50"/>
    <w:rsid w:val="00E07F07"/>
    <w:rsid w:val="00E11A01"/>
    <w:rsid w:val="00E24C33"/>
    <w:rsid w:val="00E37760"/>
    <w:rsid w:val="00E41BE2"/>
    <w:rsid w:val="00E45787"/>
    <w:rsid w:val="00E52B5D"/>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 w:type="character" w:customStyle="1" w:styleId="ListParagraphChar">
    <w:name w:val="List Paragraph Char"/>
    <w:aliases w:val="Number Bullets Char,Bullet Number Char,List Paragraph1 Char,List Paragraph11 Char,bullet Char,bullet 1 Char,List Paragraph 1 Char,My checklist Char,B1 Char,Body Bullet Char,Bullet List Char,Bulleted Text Char,Figure_name Char,bu Char"/>
    <w:link w:val="ListParagraph"/>
    <w:uiPriority w:val="34"/>
    <w:locked/>
    <w:rsid w:val="00977D3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Văn phòng</cp:lastModifiedBy>
  <cp:revision>24</cp:revision>
  <dcterms:created xsi:type="dcterms:W3CDTF">2022-07-11T01:35:00Z</dcterms:created>
  <dcterms:modified xsi:type="dcterms:W3CDTF">2022-09-06T07:01:00Z</dcterms:modified>
</cp:coreProperties>
</file>