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b/>
                <w:i/>
                <w:sz w:val="26"/>
                <w:szCs w:val="26"/>
              </w:rPr>
            </w:pPr>
            <w:bookmarkStart w:id="0" w:name="_GoBack"/>
            <w:bookmarkEnd w:id="0"/>
            <w:r>
              <w:rPr>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color w:val="003399"/>
                <w:sz w:val="28"/>
                <w:szCs w:val="28"/>
              </w:rPr>
            </w:pPr>
            <w:r w:rsidRPr="00A91A16">
              <w:rPr>
                <w:color w:val="003399"/>
                <w:sz w:val="28"/>
                <w:szCs w:val="28"/>
              </w:rPr>
              <w:t>TẬP ĐOÀN ĐIỆN LỰC VIỆT NAM</w:t>
            </w:r>
          </w:p>
          <w:p w14:paraId="08662D16" w14:textId="77777777" w:rsidR="00C62E05" w:rsidRPr="00B43F31" w:rsidRDefault="00C62E05" w:rsidP="009C47F9">
            <w:pPr>
              <w:jc w:val="center"/>
              <w:rPr>
                <w:b/>
                <w:color w:val="003399"/>
                <w:sz w:val="28"/>
                <w:szCs w:val="28"/>
              </w:rPr>
            </w:pPr>
            <w:r w:rsidRPr="00A91A16">
              <w:rPr>
                <w:b/>
                <w:color w:val="003399"/>
                <w:sz w:val="28"/>
                <w:szCs w:val="28"/>
              </w:rPr>
              <w:t>TỔNG CÔNG TY PHÁT ĐIỆN 1</w:t>
            </w:r>
          </w:p>
          <w:p w14:paraId="52DC6CC6" w14:textId="77777777" w:rsidR="00C62E05" w:rsidRPr="00A91A16" w:rsidRDefault="00C62E05" w:rsidP="009C47F9">
            <w:pPr>
              <w:jc w:val="center"/>
              <w:rPr>
                <w:b/>
                <w:sz w:val="28"/>
                <w:szCs w:val="28"/>
              </w:rPr>
            </w:pPr>
            <w:r w:rsidRPr="00A91A16">
              <w:rPr>
                <w:b/>
                <w:sz w:val="28"/>
                <w:szCs w:val="28"/>
              </w:rPr>
              <w:t>THÔNG CÁO BÁO CHÍ</w:t>
            </w:r>
          </w:p>
          <w:p w14:paraId="3C0499A7" w14:textId="77777777" w:rsidR="005B236A" w:rsidRDefault="00C62E05" w:rsidP="005B236A">
            <w:pPr>
              <w:jc w:val="center"/>
              <w:rPr>
                <w:sz w:val="28"/>
                <w:szCs w:val="28"/>
              </w:rPr>
            </w:pPr>
            <w:r w:rsidRPr="00A91A16">
              <w:rPr>
                <w:sz w:val="28"/>
                <w:szCs w:val="28"/>
              </w:rPr>
              <w:t xml:space="preserve">KẾT QUẢ SXKD </w:t>
            </w:r>
            <w:r>
              <w:rPr>
                <w:sz w:val="28"/>
                <w:szCs w:val="28"/>
              </w:rPr>
              <w:t>-</w:t>
            </w:r>
            <w:r w:rsidRPr="00A91A16">
              <w:rPr>
                <w:sz w:val="28"/>
                <w:szCs w:val="28"/>
              </w:rPr>
              <w:t xml:space="preserve"> ĐTXD </w:t>
            </w:r>
            <w:r w:rsidR="005B236A">
              <w:rPr>
                <w:sz w:val="28"/>
                <w:szCs w:val="28"/>
              </w:rPr>
              <w:t xml:space="preserve">NĂM </w:t>
            </w:r>
            <w:r>
              <w:rPr>
                <w:sz w:val="28"/>
                <w:szCs w:val="28"/>
              </w:rPr>
              <w:t>202</w:t>
            </w:r>
            <w:r w:rsidR="00341005">
              <w:rPr>
                <w:sz w:val="28"/>
                <w:szCs w:val="28"/>
                <w:lang w:val="vi-VN"/>
              </w:rPr>
              <w:t>2</w:t>
            </w:r>
            <w:r w:rsidR="005B236A">
              <w:rPr>
                <w:sz w:val="28"/>
                <w:szCs w:val="28"/>
              </w:rPr>
              <w:t xml:space="preserve"> </w:t>
            </w:r>
          </w:p>
          <w:p w14:paraId="2838B377" w14:textId="33F43E3E" w:rsidR="00C62E05" w:rsidRPr="005B236A" w:rsidRDefault="005B236A" w:rsidP="005B236A">
            <w:pPr>
              <w:jc w:val="center"/>
              <w:rPr>
                <w:sz w:val="28"/>
                <w:szCs w:val="28"/>
              </w:rPr>
            </w:pPr>
            <w:r>
              <w:rPr>
                <w:sz w:val="28"/>
                <w:szCs w:val="28"/>
              </w:rPr>
              <w:t>VÀ KẾ HOẠCH NĂM 2023</w:t>
            </w:r>
          </w:p>
        </w:tc>
      </w:tr>
    </w:tbl>
    <w:p w14:paraId="0E8A5A34" w14:textId="0311D1CE" w:rsidR="005B236A" w:rsidRPr="00D53AB8" w:rsidRDefault="005B236A" w:rsidP="00D53AB8">
      <w:pPr>
        <w:pStyle w:val="NormalWeb"/>
        <w:spacing w:before="120" w:beforeAutospacing="0" w:after="120" w:afterAutospacing="0" w:line="276" w:lineRule="auto"/>
        <w:ind w:firstLine="720"/>
        <w:jc w:val="both"/>
        <w:rPr>
          <w:rStyle w:val="Strong"/>
          <w:b w:val="0"/>
          <w:bCs w:val="0"/>
          <w:sz w:val="28"/>
          <w:szCs w:val="28"/>
        </w:rPr>
      </w:pPr>
      <w:r w:rsidRPr="00D53AB8">
        <w:rPr>
          <w:rStyle w:val="Strong"/>
          <w:b w:val="0"/>
          <w:bCs w:val="0"/>
          <w:sz w:val="28"/>
          <w:szCs w:val="28"/>
        </w:rPr>
        <w:t>Ngày 28/12/2022, Tổng công ty Phát điện 1 (EVN</w:t>
      </w:r>
      <w:r w:rsidRPr="00D53AB8">
        <w:rPr>
          <w:rStyle w:val="Strong"/>
          <w:b w:val="0"/>
          <w:bCs w:val="0"/>
          <w:i/>
          <w:iCs/>
          <w:sz w:val="28"/>
          <w:szCs w:val="28"/>
        </w:rPr>
        <w:t>GENCO1</w:t>
      </w:r>
      <w:r w:rsidRPr="00D53AB8">
        <w:rPr>
          <w:rStyle w:val="Strong"/>
          <w:b w:val="0"/>
          <w:bCs w:val="0"/>
          <w:sz w:val="28"/>
          <w:szCs w:val="28"/>
        </w:rPr>
        <w:t>) đã tổ chức Hội nghị tổng kết công tác năm 2022 và triển khai kế hoạch nhiệm vụ năm 2023.</w:t>
      </w:r>
    </w:p>
    <w:p w14:paraId="7D14CDA9" w14:textId="0E728FC6" w:rsidR="00C62E05" w:rsidRPr="00650EC5" w:rsidRDefault="00C62E05" w:rsidP="00D53AB8">
      <w:pPr>
        <w:pStyle w:val="NormalWeb"/>
        <w:spacing w:before="120" w:beforeAutospacing="0" w:after="120" w:afterAutospacing="0" w:line="276" w:lineRule="auto"/>
        <w:ind w:firstLine="720"/>
        <w:jc w:val="both"/>
        <w:rPr>
          <w:sz w:val="28"/>
          <w:szCs w:val="28"/>
        </w:rPr>
      </w:pPr>
      <w:r w:rsidRPr="00D53AB8">
        <w:rPr>
          <w:rStyle w:val="Strong"/>
          <w:sz w:val="28"/>
          <w:szCs w:val="28"/>
        </w:rPr>
        <w:t xml:space="preserve">Kết quả SXKD &amp; ĐTXD </w:t>
      </w:r>
      <w:r w:rsidR="00247278" w:rsidRPr="00D53AB8">
        <w:rPr>
          <w:rStyle w:val="Strong"/>
          <w:sz w:val="28"/>
          <w:szCs w:val="28"/>
        </w:rPr>
        <w:t xml:space="preserve">năm </w:t>
      </w:r>
      <w:r w:rsidR="004E02CF" w:rsidRPr="00D53AB8">
        <w:rPr>
          <w:rStyle w:val="Strong"/>
          <w:sz w:val="28"/>
          <w:szCs w:val="28"/>
        </w:rPr>
        <w:t>202</w:t>
      </w:r>
      <w:r w:rsidR="00341005" w:rsidRPr="00D53AB8">
        <w:rPr>
          <w:rStyle w:val="Strong"/>
          <w:sz w:val="28"/>
          <w:szCs w:val="28"/>
          <w:lang w:val="vi-VN"/>
        </w:rPr>
        <w:t>2</w:t>
      </w:r>
      <w:r w:rsidR="000D1399" w:rsidRPr="00D53AB8">
        <w:rPr>
          <w:rStyle w:val="Strong"/>
          <w:sz w:val="28"/>
          <w:szCs w:val="28"/>
        </w:rPr>
        <w:t xml:space="preserve">: </w:t>
      </w:r>
      <w:r w:rsidR="00650EC5" w:rsidRPr="00650EC5">
        <w:rPr>
          <w:rStyle w:val="Strong"/>
          <w:sz w:val="28"/>
          <w:szCs w:val="28"/>
        </w:rPr>
        <w:t>Tổng sản lượng điện sản xuất vượt kế hoạch được giao</w:t>
      </w:r>
    </w:p>
    <w:p w14:paraId="2A5C18DC" w14:textId="69B868B2" w:rsidR="00693368" w:rsidRPr="00D53AB8" w:rsidRDefault="005B236A" w:rsidP="00D53AB8">
      <w:pPr>
        <w:spacing w:before="120" w:after="120" w:line="276" w:lineRule="auto"/>
        <w:ind w:firstLine="720"/>
        <w:jc w:val="both"/>
        <w:rPr>
          <w:rFonts w:eastAsia="Calibri"/>
          <w:sz w:val="28"/>
          <w:szCs w:val="28"/>
        </w:rPr>
      </w:pPr>
      <w:r w:rsidRPr="00D53AB8">
        <w:rPr>
          <w:spacing w:val="-6"/>
          <w:sz w:val="28"/>
          <w:szCs w:val="28"/>
          <w:lang w:val="vi-VN"/>
        </w:rPr>
        <w:t xml:space="preserve">Năm 2022 là năm thứ 2 </w:t>
      </w:r>
      <w:r w:rsidRPr="00D53AB8">
        <w:rPr>
          <w:spacing w:val="-6"/>
          <w:sz w:val="28"/>
          <w:szCs w:val="28"/>
        </w:rPr>
        <w:t xml:space="preserve">thực hiện </w:t>
      </w:r>
      <w:r w:rsidRPr="00D53AB8">
        <w:rPr>
          <w:spacing w:val="-6"/>
          <w:sz w:val="28"/>
          <w:szCs w:val="28"/>
          <w:lang w:val="vi-VN"/>
        </w:rPr>
        <w:t>kế hoạch 5 năm giai đoạn 2021</w:t>
      </w:r>
      <w:r w:rsidRPr="00D53AB8">
        <w:rPr>
          <w:spacing w:val="-6"/>
          <w:sz w:val="28"/>
          <w:szCs w:val="28"/>
        </w:rPr>
        <w:t xml:space="preserve"> - </w:t>
      </w:r>
      <w:r w:rsidRPr="00D53AB8">
        <w:rPr>
          <w:spacing w:val="-6"/>
          <w:sz w:val="28"/>
          <w:szCs w:val="28"/>
          <w:lang w:val="vi-VN"/>
        </w:rPr>
        <w:t>2025</w:t>
      </w:r>
      <w:r w:rsidRPr="00D53AB8">
        <w:rPr>
          <w:spacing w:val="-6"/>
          <w:sz w:val="28"/>
          <w:szCs w:val="28"/>
        </w:rPr>
        <w:t xml:space="preserve"> của Tổng công ty</w:t>
      </w:r>
      <w:r w:rsidRPr="00D53AB8">
        <w:rPr>
          <w:spacing w:val="-6"/>
          <w:sz w:val="28"/>
          <w:szCs w:val="28"/>
          <w:lang w:val="vi-VN"/>
        </w:rPr>
        <w:t xml:space="preserve"> và triển khai thực hiện chủ đề năm </w:t>
      </w:r>
      <w:r w:rsidRPr="00F20611">
        <w:rPr>
          <w:i/>
          <w:iCs/>
          <w:spacing w:val="-6"/>
          <w:sz w:val="28"/>
          <w:szCs w:val="28"/>
          <w:lang w:val="vi-VN"/>
        </w:rPr>
        <w:t>“Thích ứng an toàn, linh hoạt và hiệu quả”</w:t>
      </w:r>
      <w:r w:rsidRPr="00D53AB8">
        <w:rPr>
          <w:spacing w:val="-6"/>
          <w:sz w:val="28"/>
          <w:szCs w:val="28"/>
          <w:lang w:val="vi-VN"/>
        </w:rPr>
        <w:t xml:space="preserve"> trong Tập đoàn Điện lực Quốc gia Việt Nam.</w:t>
      </w:r>
      <w:r w:rsidRPr="00D53AB8">
        <w:rPr>
          <w:sz w:val="28"/>
          <w:szCs w:val="28"/>
        </w:rPr>
        <w:t xml:space="preserve"> </w:t>
      </w:r>
      <w:r w:rsidR="00502CA2" w:rsidRPr="00D53AB8">
        <w:rPr>
          <w:sz w:val="28"/>
          <w:szCs w:val="28"/>
          <w:shd w:val="clear" w:color="auto" w:fill="FFFFFF"/>
          <w:lang w:val="nl-NL"/>
        </w:rPr>
        <w:t>Trong bối cảnh chịu tác động của nhiều yếu tố bất lợi</w:t>
      </w:r>
      <w:r w:rsidR="00502CA2" w:rsidRPr="00D53AB8">
        <w:rPr>
          <w:sz w:val="28"/>
          <w:szCs w:val="28"/>
        </w:rPr>
        <w:t xml:space="preserve"> như: Tình hình cung ứng than cho các nhà máy nhiệt điện gặp nhiều khó khăn</w:t>
      </w:r>
      <w:r w:rsidR="00693368" w:rsidRPr="00D53AB8">
        <w:rPr>
          <w:sz w:val="28"/>
          <w:szCs w:val="28"/>
        </w:rPr>
        <w:t xml:space="preserve"> trong các tháng đầu năm, p</w:t>
      </w:r>
      <w:r w:rsidR="00693368" w:rsidRPr="00D53AB8">
        <w:rPr>
          <w:sz w:val="28"/>
          <w:szCs w:val="28"/>
          <w:lang w:val="vi-VN"/>
        </w:rPr>
        <w:t xml:space="preserve">hụ tải trung bình ngày của </w:t>
      </w:r>
      <w:r w:rsidR="00693368" w:rsidRPr="00D53AB8">
        <w:rPr>
          <w:sz w:val="28"/>
          <w:szCs w:val="28"/>
        </w:rPr>
        <w:t xml:space="preserve">hệ thống </w:t>
      </w:r>
      <w:r w:rsidR="00693368" w:rsidRPr="00D53AB8">
        <w:rPr>
          <w:sz w:val="28"/>
          <w:szCs w:val="28"/>
          <w:lang w:val="vi-VN"/>
        </w:rPr>
        <w:t>giảm so với kế hoạch</w:t>
      </w:r>
      <w:r w:rsidR="00693368" w:rsidRPr="00D53AB8">
        <w:rPr>
          <w:sz w:val="28"/>
          <w:szCs w:val="28"/>
        </w:rPr>
        <w:t xml:space="preserve"> năm 2022</w:t>
      </w:r>
      <w:r w:rsidR="00693368" w:rsidRPr="00D53AB8">
        <w:rPr>
          <w:sz w:val="28"/>
          <w:szCs w:val="28"/>
          <w:lang w:val="vi-VN"/>
        </w:rPr>
        <w:t xml:space="preserve"> của Bộ Công </w:t>
      </w:r>
      <w:r w:rsidR="00693368" w:rsidRPr="00D53AB8">
        <w:rPr>
          <w:sz w:val="28"/>
          <w:szCs w:val="28"/>
        </w:rPr>
        <w:t>T</w:t>
      </w:r>
      <w:r w:rsidR="00693368" w:rsidRPr="00D53AB8">
        <w:rPr>
          <w:sz w:val="28"/>
          <w:szCs w:val="28"/>
          <w:lang w:val="vi-VN"/>
        </w:rPr>
        <w:t>hương</w:t>
      </w:r>
      <w:r w:rsidR="00693368" w:rsidRPr="00D53AB8">
        <w:rPr>
          <w:sz w:val="28"/>
          <w:szCs w:val="28"/>
        </w:rPr>
        <w:t>, một số tổ máy nhiệt điện không được huy động</w:t>
      </w:r>
      <w:r w:rsidR="00693368" w:rsidRPr="00D53AB8">
        <w:rPr>
          <w:sz w:val="28"/>
          <w:szCs w:val="28"/>
          <w:lang w:val="vi-VN"/>
        </w:rPr>
        <w:t>…</w:t>
      </w:r>
      <w:r w:rsidR="00693368" w:rsidRPr="00D53AB8">
        <w:rPr>
          <w:sz w:val="28"/>
          <w:szCs w:val="28"/>
        </w:rPr>
        <w:t xml:space="preserve">, </w:t>
      </w:r>
      <w:r w:rsidR="00693368" w:rsidRPr="00D53AB8">
        <w:rPr>
          <w:rFonts w:eastAsia="Calibri"/>
          <w:sz w:val="28"/>
          <w:szCs w:val="28"/>
        </w:rPr>
        <w:t>nhưng với sự chỉ đạo sát sao và hỗ trợ kịp thời của Tập đoàn Điện lực Việt Nam</w:t>
      </w:r>
      <w:r w:rsidR="00A34F95">
        <w:rPr>
          <w:rFonts w:eastAsia="Calibri"/>
          <w:sz w:val="28"/>
          <w:szCs w:val="28"/>
        </w:rPr>
        <w:t xml:space="preserve"> (EVN)</w:t>
      </w:r>
      <w:r w:rsidR="00693368" w:rsidRPr="00D53AB8">
        <w:rPr>
          <w:rFonts w:eastAsia="Calibri"/>
          <w:sz w:val="28"/>
          <w:szCs w:val="28"/>
        </w:rPr>
        <w:t>, Uỷ ban Quản lý vốn Nhà nước tại doanh nghiệp và các Bộ, ngành, các địa phương, EVN</w:t>
      </w:r>
      <w:r w:rsidR="00693368" w:rsidRPr="00D53AB8">
        <w:rPr>
          <w:rFonts w:eastAsia="Calibri"/>
          <w:i/>
          <w:sz w:val="28"/>
          <w:szCs w:val="28"/>
        </w:rPr>
        <w:t>GENCO1</w:t>
      </w:r>
      <w:r w:rsidR="00693368" w:rsidRPr="00D53AB8">
        <w:rPr>
          <w:rFonts w:eastAsia="Calibri"/>
          <w:sz w:val="28"/>
          <w:szCs w:val="28"/>
        </w:rPr>
        <w:t xml:space="preserve"> đã nỗ lực hoàn thành tốt nhiệm vụ được</w:t>
      </w:r>
      <w:r w:rsidR="00693368" w:rsidRPr="00D53AB8">
        <w:rPr>
          <w:rFonts w:eastAsia="Calibri"/>
          <w:sz w:val="28"/>
          <w:szCs w:val="28"/>
          <w:lang w:val="vi-VN"/>
        </w:rPr>
        <w:t xml:space="preserve"> </w:t>
      </w:r>
      <w:r w:rsidR="00693368" w:rsidRPr="00D53AB8">
        <w:rPr>
          <w:rFonts w:eastAsia="Calibri"/>
          <w:sz w:val="28"/>
          <w:szCs w:val="28"/>
        </w:rPr>
        <w:t>giao</w:t>
      </w:r>
      <w:r w:rsidR="00822E24">
        <w:rPr>
          <w:rFonts w:eastAsia="Calibri"/>
          <w:sz w:val="28"/>
          <w:szCs w:val="28"/>
        </w:rPr>
        <w:t xml:space="preserve"> </w:t>
      </w:r>
      <w:r w:rsidR="00822E24" w:rsidRPr="00D53AB8">
        <w:rPr>
          <w:rFonts w:eastAsia="Calibri"/>
          <w:sz w:val="28"/>
          <w:szCs w:val="28"/>
        </w:rPr>
        <w:t>năm 2022</w:t>
      </w:r>
      <w:r w:rsidR="00693368" w:rsidRPr="00D53AB8">
        <w:rPr>
          <w:rFonts w:eastAsia="Calibri"/>
          <w:sz w:val="28"/>
          <w:szCs w:val="28"/>
        </w:rPr>
        <w:t>.</w:t>
      </w:r>
    </w:p>
    <w:p w14:paraId="68DBC838" w14:textId="5DD4E886" w:rsidR="002B3F13" w:rsidRPr="00D53AB8" w:rsidRDefault="009424A9" w:rsidP="00D53AB8">
      <w:pPr>
        <w:pStyle w:val="normal1"/>
        <w:spacing w:line="276" w:lineRule="auto"/>
        <w:ind w:firstLine="709"/>
        <w:rPr>
          <w:iCs/>
          <w:spacing w:val="-2"/>
        </w:rPr>
      </w:pPr>
      <w:r>
        <w:rPr>
          <w:rFonts w:eastAsia="Times New Roman"/>
          <w:iCs/>
          <w:spacing w:val="-2"/>
        </w:rPr>
        <w:t>T</w:t>
      </w:r>
      <w:r w:rsidR="003A13F9" w:rsidRPr="00D53AB8">
        <w:t>ổng sản lượng điện EVN</w:t>
      </w:r>
      <w:r w:rsidR="003A13F9" w:rsidRPr="00D53AB8">
        <w:rPr>
          <w:i/>
          <w:iCs/>
        </w:rPr>
        <w:t>GENCO1</w:t>
      </w:r>
      <w:r w:rsidR="003A13F9" w:rsidRPr="00D53AB8">
        <w:t xml:space="preserve"> </w:t>
      </w:r>
      <w:r w:rsidR="00E03A24" w:rsidRPr="00D53AB8">
        <w:rPr>
          <w:lang w:val="it-IT"/>
        </w:rPr>
        <w:t xml:space="preserve">ước thực hiện năm 2022 là </w:t>
      </w:r>
      <w:r w:rsidR="00E03A24" w:rsidRPr="00F20611">
        <w:rPr>
          <w:lang w:val="it-IT"/>
        </w:rPr>
        <w:t>30,38 tỷ kWh</w:t>
      </w:r>
      <w:r w:rsidR="00E03A24" w:rsidRPr="00D53AB8">
        <w:rPr>
          <w:lang w:val="it-IT"/>
        </w:rPr>
        <w:t xml:space="preserve">, vượt kế hoạch Bộ Công Thương và EVN giao (đạt </w:t>
      </w:r>
      <w:r w:rsidR="00E03A24" w:rsidRPr="00F20611">
        <w:rPr>
          <w:lang w:val="it-IT"/>
        </w:rPr>
        <w:t>101%</w:t>
      </w:r>
      <w:r w:rsidR="00E03A24" w:rsidRPr="00D53AB8">
        <w:rPr>
          <w:lang w:val="it-IT"/>
        </w:rPr>
        <w:t>)</w:t>
      </w:r>
      <w:r w:rsidR="00A304AE" w:rsidRPr="00D53AB8">
        <w:rPr>
          <w:lang w:val="en-US"/>
        </w:rPr>
        <w:t xml:space="preserve">. </w:t>
      </w:r>
      <w:r w:rsidR="00C35F0A" w:rsidRPr="00D53AB8">
        <w:rPr>
          <w:lang w:val="en-US"/>
        </w:rPr>
        <w:t>Trong đó</w:t>
      </w:r>
      <w:r w:rsidR="00A304AE" w:rsidRPr="00D53AB8">
        <w:rPr>
          <w:lang w:val="en-US"/>
        </w:rPr>
        <w:t xml:space="preserve">, </w:t>
      </w:r>
      <w:r w:rsidR="004C48D4" w:rsidRPr="00D53AB8">
        <w:rPr>
          <w:lang w:val="en-US"/>
        </w:rPr>
        <w:t xml:space="preserve">khối thủy điện </w:t>
      </w:r>
      <w:r w:rsidR="004C48D4" w:rsidRPr="00D53AB8">
        <w:rPr>
          <w:bCs/>
          <w:spacing w:val="-2"/>
          <w:lang w:val="nl-NL"/>
        </w:rPr>
        <w:t>hoàn thành sớm và vượt kế hoạch sản lượng năm 2022</w:t>
      </w:r>
      <w:r w:rsidR="00313211" w:rsidRPr="00D53AB8">
        <w:rPr>
          <w:lang w:val="en-US"/>
        </w:rPr>
        <w:t xml:space="preserve">. </w:t>
      </w:r>
      <w:r w:rsidR="003D15BD" w:rsidRPr="00D53AB8">
        <w:rPr>
          <w:rFonts w:eastAsia="Times New Roman"/>
          <w:iCs/>
          <w:spacing w:val="-2"/>
        </w:rPr>
        <w:t>EVN</w:t>
      </w:r>
      <w:r w:rsidR="003D15BD" w:rsidRPr="00D53AB8">
        <w:rPr>
          <w:rFonts w:eastAsia="Times New Roman"/>
          <w:i/>
          <w:spacing w:val="-2"/>
        </w:rPr>
        <w:t>GENCO1</w:t>
      </w:r>
      <w:r w:rsidR="003D15BD" w:rsidRPr="00D53AB8">
        <w:rPr>
          <w:rFonts w:eastAsia="Times New Roman"/>
          <w:iCs/>
          <w:spacing w:val="-2"/>
        </w:rPr>
        <w:t xml:space="preserve"> </w:t>
      </w:r>
      <w:r>
        <w:rPr>
          <w:rFonts w:eastAsia="Times New Roman"/>
          <w:iCs/>
          <w:spacing w:val="-2"/>
        </w:rPr>
        <w:t xml:space="preserve">cũng </w:t>
      </w:r>
      <w:r w:rsidR="003D15BD" w:rsidRPr="00D53AB8">
        <w:rPr>
          <w:rFonts w:eastAsia="Times New Roman"/>
          <w:iCs/>
          <w:spacing w:val="-2"/>
        </w:rPr>
        <w:t>đã thực hiện đạt và vượt 6/8 chỉ tiêu kế hoạch sản xuất kinh doanh (SXKD) được EVN giao</w:t>
      </w:r>
      <w:r>
        <w:rPr>
          <w:rFonts w:eastAsia="Times New Roman"/>
          <w:iCs/>
          <w:spacing w:val="-2"/>
        </w:rPr>
        <w:t xml:space="preserve"> và cùng Tập đoàn </w:t>
      </w:r>
      <w:r w:rsidR="00AB5B24" w:rsidRPr="00D53AB8">
        <w:rPr>
          <w:iCs/>
          <w:spacing w:val="-2"/>
        </w:rPr>
        <w:t>tập trung thực hiện các giải pháp đồng bộ đảm bảo đáp ứng nhu cầu điện cho phát triển kinh tế xã hội của đất nước và sinh hoạt của nhân dân, trong mọi tình huống không để xảy ra thiếu điện theo đúng cam kết của EVN với Đảng, Chính phủ.</w:t>
      </w:r>
      <w:r w:rsidR="00103532" w:rsidRPr="00D53AB8">
        <w:rPr>
          <w:iCs/>
          <w:spacing w:val="-2"/>
        </w:rPr>
        <w:t xml:space="preserve"> </w:t>
      </w:r>
    </w:p>
    <w:p w14:paraId="669DED6F" w14:textId="0605BCFC" w:rsidR="007D5D3D" w:rsidRPr="00D53AB8" w:rsidRDefault="00BD7F1A" w:rsidP="00D53AB8">
      <w:pPr>
        <w:widowControl w:val="0"/>
        <w:spacing w:before="120" w:after="120" w:line="276" w:lineRule="auto"/>
        <w:ind w:firstLine="567"/>
        <w:jc w:val="both"/>
        <w:rPr>
          <w:sz w:val="28"/>
          <w:szCs w:val="28"/>
        </w:rPr>
      </w:pPr>
      <w:r w:rsidRPr="00D53AB8">
        <w:rPr>
          <w:sz w:val="28"/>
          <w:szCs w:val="28"/>
        </w:rPr>
        <w:t xml:space="preserve">Về </w:t>
      </w:r>
      <w:r w:rsidR="00EC712A" w:rsidRPr="00D53AB8">
        <w:rPr>
          <w:sz w:val="28"/>
          <w:szCs w:val="28"/>
        </w:rPr>
        <w:t>đầu tư xây dựng (ĐTXD</w:t>
      </w:r>
      <w:r w:rsidR="00006502" w:rsidRPr="00D53AB8">
        <w:rPr>
          <w:sz w:val="28"/>
          <w:szCs w:val="28"/>
        </w:rPr>
        <w:t xml:space="preserve">), </w:t>
      </w:r>
      <w:r w:rsidR="007D5D3D" w:rsidRPr="00D53AB8">
        <w:rPr>
          <w:sz w:val="28"/>
          <w:szCs w:val="28"/>
        </w:rPr>
        <w:t>m</w:t>
      </w:r>
      <w:r w:rsidR="007D5D3D" w:rsidRPr="00D53AB8">
        <w:rPr>
          <w:sz w:val="28"/>
          <w:szCs w:val="28"/>
          <w:lang w:val="vi-VN"/>
        </w:rPr>
        <w:t xml:space="preserve">ột số dự án đã </w:t>
      </w:r>
      <w:r w:rsidR="007D5D3D" w:rsidRPr="00D53AB8">
        <w:rPr>
          <w:sz w:val="28"/>
          <w:szCs w:val="28"/>
        </w:rPr>
        <w:t xml:space="preserve">hoàn thành </w:t>
      </w:r>
      <w:r w:rsidR="007D5D3D" w:rsidRPr="00D53AB8">
        <w:rPr>
          <w:sz w:val="28"/>
          <w:szCs w:val="28"/>
          <w:lang w:val="vi-VN"/>
        </w:rPr>
        <w:t xml:space="preserve">báo cáo quyết toán và </w:t>
      </w:r>
      <w:r w:rsidR="007D5D3D" w:rsidRPr="00D53AB8">
        <w:rPr>
          <w:sz w:val="28"/>
          <w:szCs w:val="28"/>
        </w:rPr>
        <w:t>đang</w:t>
      </w:r>
      <w:r w:rsidR="007D5D3D" w:rsidRPr="00D53AB8">
        <w:rPr>
          <w:sz w:val="28"/>
          <w:szCs w:val="28"/>
          <w:lang w:val="vi-VN"/>
        </w:rPr>
        <w:t xml:space="preserve"> </w:t>
      </w:r>
      <w:r w:rsidR="007D5D3D" w:rsidRPr="00D53AB8">
        <w:rPr>
          <w:sz w:val="28"/>
          <w:szCs w:val="28"/>
        </w:rPr>
        <w:t xml:space="preserve">được EVN </w:t>
      </w:r>
      <w:r w:rsidR="007D5D3D" w:rsidRPr="00D53AB8">
        <w:rPr>
          <w:sz w:val="28"/>
          <w:szCs w:val="28"/>
          <w:lang w:val="vi-VN"/>
        </w:rPr>
        <w:t>thẩm tra</w:t>
      </w:r>
      <w:r w:rsidR="007D5D3D" w:rsidRPr="00D53AB8">
        <w:rPr>
          <w:sz w:val="28"/>
          <w:szCs w:val="28"/>
        </w:rPr>
        <w:t>, đặc biệt</w:t>
      </w:r>
      <w:r w:rsidR="007D5D3D" w:rsidRPr="00D53AB8">
        <w:rPr>
          <w:sz w:val="28"/>
          <w:szCs w:val="28"/>
          <w:lang w:val="vi-VN"/>
        </w:rPr>
        <w:t xml:space="preserve"> </w:t>
      </w:r>
      <w:r w:rsidR="007D5D3D" w:rsidRPr="00D53AB8">
        <w:rPr>
          <w:sz w:val="28"/>
          <w:szCs w:val="28"/>
        </w:rPr>
        <w:t xml:space="preserve">giá trị giải ngân </w:t>
      </w:r>
      <w:r w:rsidR="007D5D3D" w:rsidRPr="00D53AB8">
        <w:rPr>
          <w:sz w:val="28"/>
          <w:szCs w:val="28"/>
          <w:lang w:val="vi-VN"/>
        </w:rPr>
        <w:t>dự án N</w:t>
      </w:r>
      <w:r w:rsidR="007D5D3D" w:rsidRPr="00D53AB8">
        <w:rPr>
          <w:sz w:val="28"/>
          <w:szCs w:val="28"/>
        </w:rPr>
        <w:t>hà máy Nhiệt điện</w:t>
      </w:r>
      <w:r w:rsidR="007D5D3D" w:rsidRPr="00D53AB8">
        <w:rPr>
          <w:sz w:val="28"/>
          <w:szCs w:val="28"/>
          <w:lang w:val="vi-VN"/>
        </w:rPr>
        <w:t xml:space="preserve"> Duyên Hải 3 </w:t>
      </w:r>
      <w:r w:rsidR="007D5D3D" w:rsidRPr="00D53AB8">
        <w:rPr>
          <w:sz w:val="28"/>
          <w:szCs w:val="28"/>
        </w:rPr>
        <w:t>mở rộng</w:t>
      </w:r>
      <w:r w:rsidR="007D5D3D" w:rsidRPr="00D53AB8">
        <w:rPr>
          <w:sz w:val="28"/>
          <w:szCs w:val="28"/>
          <w:lang w:val="vi-VN"/>
        </w:rPr>
        <w:t xml:space="preserve"> vượt kế hoạch Tập đoàn giao (108%)</w:t>
      </w:r>
      <w:r w:rsidR="007D5D3D" w:rsidRPr="00D53AB8">
        <w:rPr>
          <w:sz w:val="28"/>
          <w:szCs w:val="28"/>
        </w:rPr>
        <w:t xml:space="preserve">. </w:t>
      </w:r>
      <w:r w:rsidR="000B55E0" w:rsidRPr="00D53AB8">
        <w:rPr>
          <w:sz w:val="28"/>
          <w:szCs w:val="28"/>
        </w:rPr>
        <w:t>Tuy nhiên, m</w:t>
      </w:r>
      <w:r w:rsidR="000B55E0" w:rsidRPr="00D53AB8">
        <w:rPr>
          <w:sz w:val="28"/>
          <w:szCs w:val="28"/>
          <w:lang w:val="vi-VN"/>
        </w:rPr>
        <w:t>ột số dự án chịu tác động của các yếu tố khách quan dẫn tới bị chậm tiến độ</w:t>
      </w:r>
      <w:r w:rsidR="007D5D3D" w:rsidRPr="00D53AB8">
        <w:rPr>
          <w:sz w:val="28"/>
          <w:szCs w:val="28"/>
          <w:lang w:val="vi-VN"/>
        </w:rPr>
        <w:t>.</w:t>
      </w:r>
      <w:r w:rsidR="009C0D78" w:rsidRPr="00D53AB8">
        <w:rPr>
          <w:sz w:val="28"/>
          <w:szCs w:val="28"/>
        </w:rPr>
        <w:t xml:space="preserve"> Năm 2022, k</w:t>
      </w:r>
      <w:r w:rsidR="007D5D3D" w:rsidRPr="00D53AB8">
        <w:rPr>
          <w:sz w:val="28"/>
          <w:szCs w:val="28"/>
        </w:rPr>
        <w:t>hối lượng thực hiện</w:t>
      </w:r>
      <w:r w:rsidR="009C0D78" w:rsidRPr="00D53AB8">
        <w:rPr>
          <w:sz w:val="28"/>
          <w:szCs w:val="28"/>
        </w:rPr>
        <w:t xml:space="preserve"> ĐTXD</w:t>
      </w:r>
      <w:r w:rsidR="007D5D3D" w:rsidRPr="00D53AB8">
        <w:rPr>
          <w:sz w:val="28"/>
          <w:szCs w:val="28"/>
        </w:rPr>
        <w:t xml:space="preserve"> của EVN</w:t>
      </w:r>
      <w:r w:rsidR="007D5D3D" w:rsidRPr="00D53AB8">
        <w:rPr>
          <w:i/>
          <w:iCs/>
          <w:sz w:val="28"/>
          <w:szCs w:val="28"/>
        </w:rPr>
        <w:t>GENCO1</w:t>
      </w:r>
      <w:r w:rsidR="007D5D3D" w:rsidRPr="00D53AB8">
        <w:rPr>
          <w:sz w:val="28"/>
          <w:szCs w:val="28"/>
        </w:rPr>
        <w:t xml:space="preserve"> đạt 96% và giá trị giải</w:t>
      </w:r>
      <w:r w:rsidR="007D5D3D" w:rsidRPr="00D53AB8">
        <w:rPr>
          <w:sz w:val="28"/>
          <w:szCs w:val="28"/>
          <w:lang w:val="vi-VN"/>
        </w:rPr>
        <w:t xml:space="preserve"> ngân</w:t>
      </w:r>
      <w:r w:rsidR="007D5D3D" w:rsidRPr="00D53AB8">
        <w:rPr>
          <w:sz w:val="28"/>
          <w:szCs w:val="28"/>
        </w:rPr>
        <w:t xml:space="preserve"> đạt 96% kế hoạch.</w:t>
      </w:r>
    </w:p>
    <w:p w14:paraId="6B132FC7" w14:textId="1D1E25F2" w:rsidR="00203EAE" w:rsidRPr="00D53AB8" w:rsidRDefault="003D15BD" w:rsidP="00D53AB8">
      <w:pPr>
        <w:spacing w:before="120" w:after="120" w:line="276" w:lineRule="auto"/>
        <w:ind w:firstLine="567"/>
        <w:jc w:val="both"/>
        <w:rPr>
          <w:sz w:val="28"/>
          <w:szCs w:val="28"/>
          <w:lang w:val="vi-VN"/>
        </w:rPr>
      </w:pPr>
      <w:r w:rsidRPr="003D15BD">
        <w:rPr>
          <w:noProof/>
          <w:sz w:val="28"/>
          <w:szCs w:val="28"/>
          <w:lang w:val="vi-VN"/>
        </w:rPr>
        <w:t>Với mục tiêu là cơ bản trở thành doanh nghiệp số trong năm 2025,</w:t>
      </w:r>
      <w:r>
        <w:rPr>
          <w:noProof/>
          <w:sz w:val="28"/>
          <w:szCs w:val="28"/>
        </w:rPr>
        <w:t xml:space="preserve"> c</w:t>
      </w:r>
      <w:r w:rsidR="00394158" w:rsidRPr="00D53AB8">
        <w:rPr>
          <w:noProof/>
          <w:sz w:val="28"/>
          <w:szCs w:val="28"/>
          <w:lang w:val="vi-VN"/>
        </w:rPr>
        <w:t>ác nhiệm vụ</w:t>
      </w:r>
      <w:r w:rsidR="00203EAE" w:rsidRPr="00D53AB8">
        <w:rPr>
          <w:noProof/>
          <w:sz w:val="28"/>
          <w:szCs w:val="28"/>
        </w:rPr>
        <w:t xml:space="preserve">, mục tiêu năm 2022 </w:t>
      </w:r>
      <w:r w:rsidR="005E22E3" w:rsidRPr="00D53AB8">
        <w:rPr>
          <w:noProof/>
          <w:sz w:val="28"/>
          <w:szCs w:val="28"/>
        </w:rPr>
        <w:t>theo Kế hoạch chuyển đổi số của EVN và</w:t>
      </w:r>
      <w:r w:rsidR="00203EAE" w:rsidRPr="00D53AB8">
        <w:rPr>
          <w:noProof/>
          <w:sz w:val="28"/>
          <w:szCs w:val="28"/>
        </w:rPr>
        <w:t xml:space="preserve"> Đề án chuyển đổi số</w:t>
      </w:r>
      <w:r w:rsidR="00394158" w:rsidRPr="00D53AB8">
        <w:rPr>
          <w:noProof/>
          <w:sz w:val="28"/>
          <w:szCs w:val="28"/>
          <w:lang w:val="vi-VN"/>
        </w:rPr>
        <w:t xml:space="preserve"> </w:t>
      </w:r>
      <w:r w:rsidR="00203EAE" w:rsidRPr="00D53AB8">
        <w:rPr>
          <w:noProof/>
          <w:sz w:val="28"/>
          <w:szCs w:val="28"/>
        </w:rPr>
        <w:t>của</w:t>
      </w:r>
      <w:r w:rsidR="00EB219D" w:rsidRPr="00D53AB8">
        <w:rPr>
          <w:noProof/>
          <w:sz w:val="28"/>
          <w:szCs w:val="28"/>
          <w:lang w:val="vi-VN"/>
        </w:rPr>
        <w:t xml:space="preserve"> EVN</w:t>
      </w:r>
      <w:r w:rsidR="00EB219D" w:rsidRPr="00D53AB8">
        <w:rPr>
          <w:i/>
          <w:iCs/>
          <w:noProof/>
          <w:sz w:val="28"/>
          <w:szCs w:val="28"/>
          <w:lang w:val="vi-VN"/>
        </w:rPr>
        <w:t>GENCO1</w:t>
      </w:r>
      <w:r w:rsidR="00EB219D" w:rsidRPr="00D53AB8">
        <w:rPr>
          <w:noProof/>
          <w:sz w:val="28"/>
          <w:szCs w:val="28"/>
          <w:lang w:val="vi-VN"/>
        </w:rPr>
        <w:t xml:space="preserve"> </w:t>
      </w:r>
      <w:r w:rsidR="00EC390D" w:rsidRPr="00D53AB8">
        <w:rPr>
          <w:noProof/>
          <w:sz w:val="28"/>
          <w:szCs w:val="28"/>
        </w:rPr>
        <w:t>về cơ bản</w:t>
      </w:r>
      <w:r w:rsidR="00203EAE" w:rsidRPr="00D53AB8">
        <w:rPr>
          <w:noProof/>
          <w:sz w:val="28"/>
          <w:szCs w:val="28"/>
        </w:rPr>
        <w:t xml:space="preserve"> được triển khai đúng </w:t>
      </w:r>
      <w:r w:rsidR="005E22E3" w:rsidRPr="00D53AB8">
        <w:rPr>
          <w:noProof/>
          <w:sz w:val="28"/>
          <w:szCs w:val="28"/>
        </w:rPr>
        <w:t>tiến độ</w:t>
      </w:r>
      <w:r w:rsidR="003777F1" w:rsidRPr="00D53AB8">
        <w:rPr>
          <w:sz w:val="28"/>
          <w:szCs w:val="28"/>
        </w:rPr>
        <w:t xml:space="preserve">. </w:t>
      </w:r>
      <w:r w:rsidR="003777F1" w:rsidRPr="00D53AB8">
        <w:rPr>
          <w:noProof/>
          <w:sz w:val="28"/>
          <w:szCs w:val="28"/>
        </w:rPr>
        <w:t>Một trong những trọng tâm là L</w:t>
      </w:r>
      <w:r w:rsidR="00414218" w:rsidRPr="00D53AB8">
        <w:rPr>
          <w:noProof/>
          <w:sz w:val="28"/>
          <w:szCs w:val="28"/>
          <w:lang w:val="vi-VN"/>
        </w:rPr>
        <w:t>ộ trình chuyển đổi số, lộ trình hiện đại hoá hạ tầng công nghệ thông tin, bảo mật IT, OT giai đoạn 2022 – 2025, định hướng đến năm 2030</w:t>
      </w:r>
      <w:r w:rsidR="00394158" w:rsidRPr="00D53AB8">
        <w:rPr>
          <w:noProof/>
          <w:sz w:val="28"/>
          <w:szCs w:val="28"/>
          <w:lang w:val="vi-VN"/>
        </w:rPr>
        <w:t xml:space="preserve"> </w:t>
      </w:r>
      <w:r w:rsidR="00203EAE" w:rsidRPr="00D53AB8">
        <w:rPr>
          <w:sz w:val="28"/>
          <w:szCs w:val="28"/>
          <w:lang w:val="vi-VN"/>
        </w:rPr>
        <w:t>được xây dựng dựa trên cơ sở phân tích các yêu cầu thực tế của EVN</w:t>
      </w:r>
      <w:r w:rsidR="00203EAE" w:rsidRPr="00D53AB8">
        <w:rPr>
          <w:i/>
          <w:sz w:val="28"/>
          <w:szCs w:val="28"/>
          <w:lang w:val="vi-VN"/>
        </w:rPr>
        <w:t>GENCO1</w:t>
      </w:r>
      <w:r w:rsidR="00203EAE" w:rsidRPr="00D53AB8">
        <w:rPr>
          <w:sz w:val="28"/>
          <w:szCs w:val="28"/>
          <w:lang w:val="vi-VN"/>
        </w:rPr>
        <w:t>, xu</w:t>
      </w:r>
      <w:r w:rsidR="003777F1" w:rsidRPr="00D53AB8">
        <w:rPr>
          <w:sz w:val="28"/>
          <w:szCs w:val="28"/>
          <w:lang w:val="vi-VN"/>
        </w:rPr>
        <w:t xml:space="preserve"> hướng chuyển đổi số ngành điện</w:t>
      </w:r>
      <w:r w:rsidR="003777F1" w:rsidRPr="00D53AB8">
        <w:rPr>
          <w:sz w:val="28"/>
          <w:szCs w:val="28"/>
        </w:rPr>
        <w:t xml:space="preserve"> và</w:t>
      </w:r>
      <w:r w:rsidR="003777F1" w:rsidRPr="00D53AB8">
        <w:rPr>
          <w:sz w:val="28"/>
          <w:szCs w:val="28"/>
          <w:lang w:val="vi-VN"/>
        </w:rPr>
        <w:t xml:space="preserve"> </w:t>
      </w:r>
      <w:r w:rsidR="003777F1" w:rsidRPr="00D53AB8">
        <w:rPr>
          <w:sz w:val="28"/>
          <w:szCs w:val="28"/>
        </w:rPr>
        <w:t>hướng</w:t>
      </w:r>
      <w:r w:rsidR="00203EAE" w:rsidRPr="00D53AB8">
        <w:rPr>
          <w:sz w:val="28"/>
          <w:szCs w:val="28"/>
          <w:lang w:val="vi-VN"/>
        </w:rPr>
        <w:t xml:space="preserve"> tới các trọng tâm chiến lược số của EVN</w:t>
      </w:r>
      <w:r w:rsidR="00203EAE" w:rsidRPr="00D53AB8">
        <w:rPr>
          <w:i/>
          <w:sz w:val="28"/>
          <w:szCs w:val="28"/>
          <w:lang w:val="vi-VN"/>
        </w:rPr>
        <w:t>GENCO1</w:t>
      </w:r>
      <w:r w:rsidR="003777F1" w:rsidRPr="00D53AB8">
        <w:rPr>
          <w:sz w:val="28"/>
          <w:szCs w:val="28"/>
          <w:lang w:val="vi-VN"/>
        </w:rPr>
        <w:t xml:space="preserve">. </w:t>
      </w:r>
    </w:p>
    <w:p w14:paraId="56307C1D" w14:textId="77777777" w:rsidR="00E31121" w:rsidRPr="00D53AB8" w:rsidRDefault="00E31121" w:rsidP="00D53AB8">
      <w:pPr>
        <w:spacing w:before="120" w:after="120" w:line="276" w:lineRule="auto"/>
        <w:ind w:firstLine="709"/>
        <w:jc w:val="both"/>
        <w:rPr>
          <w:sz w:val="28"/>
          <w:szCs w:val="28"/>
        </w:rPr>
      </w:pPr>
      <w:r w:rsidRPr="00D53AB8">
        <w:rPr>
          <w:color w:val="000000"/>
          <w:sz w:val="28"/>
          <w:szCs w:val="28"/>
        </w:rPr>
        <w:t>Năm 2022, công tác an toàn vệ sinh lao động, phòng chống cháy nổ, phòng chống thiên tai và công tác bảo vệ môi trường được EVN</w:t>
      </w:r>
      <w:r w:rsidRPr="00D53AB8">
        <w:rPr>
          <w:i/>
          <w:iCs/>
          <w:color w:val="000000"/>
          <w:sz w:val="28"/>
          <w:szCs w:val="28"/>
        </w:rPr>
        <w:t>GENCO1</w:t>
      </w:r>
      <w:r w:rsidRPr="00D53AB8">
        <w:rPr>
          <w:color w:val="000000"/>
          <w:sz w:val="28"/>
          <w:szCs w:val="28"/>
        </w:rPr>
        <w:t xml:space="preserve"> thực hiện tốt. Kết </w:t>
      </w:r>
      <w:r w:rsidRPr="00D53AB8">
        <w:rPr>
          <w:color w:val="000000"/>
          <w:sz w:val="28"/>
          <w:szCs w:val="28"/>
        </w:rPr>
        <w:lastRenderedPageBreak/>
        <w:t>quả, tất cả các đơn vị trong EVN</w:t>
      </w:r>
      <w:r w:rsidRPr="00D53AB8">
        <w:rPr>
          <w:i/>
          <w:iCs/>
          <w:color w:val="000000"/>
          <w:sz w:val="28"/>
          <w:szCs w:val="28"/>
        </w:rPr>
        <w:t>GENCO1</w:t>
      </w:r>
      <w:r w:rsidRPr="00D53AB8">
        <w:rPr>
          <w:color w:val="000000"/>
          <w:sz w:val="28"/>
          <w:szCs w:val="28"/>
        </w:rPr>
        <w:t xml:space="preserve"> không để xảy ra sự cố về môi trường; </w:t>
      </w:r>
      <w:r w:rsidRPr="00D53AB8">
        <w:rPr>
          <w:bCs/>
          <w:sz w:val="28"/>
          <w:szCs w:val="28"/>
        </w:rPr>
        <w:t>không có thiệt hại về người, thiết bị và công trình do thiên tai gây ra</w:t>
      </w:r>
      <w:r w:rsidRPr="00D53AB8">
        <w:rPr>
          <w:color w:val="000000"/>
          <w:sz w:val="28"/>
          <w:szCs w:val="28"/>
        </w:rPr>
        <w:t xml:space="preserve">. </w:t>
      </w:r>
    </w:p>
    <w:p w14:paraId="72A66FA9" w14:textId="0C406C95" w:rsidR="00E31121" w:rsidRPr="00D53AB8" w:rsidRDefault="00E31121" w:rsidP="00D53AB8">
      <w:pPr>
        <w:pStyle w:val="NormalWeb"/>
        <w:spacing w:before="120" w:beforeAutospacing="0" w:after="120" w:afterAutospacing="0" w:line="276" w:lineRule="auto"/>
        <w:ind w:firstLine="720"/>
        <w:jc w:val="both"/>
        <w:rPr>
          <w:sz w:val="28"/>
          <w:szCs w:val="28"/>
          <w:lang w:val="vi-VN"/>
        </w:rPr>
      </w:pPr>
      <w:r w:rsidRPr="00D53AB8">
        <w:rPr>
          <w:sz w:val="28"/>
          <w:szCs w:val="28"/>
        </w:rPr>
        <w:t>EVN</w:t>
      </w:r>
      <w:r w:rsidRPr="00D53AB8">
        <w:rPr>
          <w:i/>
          <w:sz w:val="28"/>
          <w:szCs w:val="28"/>
        </w:rPr>
        <w:t xml:space="preserve">GENCO1 </w:t>
      </w:r>
      <w:r w:rsidRPr="00D53AB8">
        <w:rPr>
          <w:sz w:val="28"/>
          <w:szCs w:val="28"/>
        </w:rPr>
        <w:t>luôn tích cực</w:t>
      </w:r>
      <w:r w:rsidR="002F60E6" w:rsidRPr="00D53AB8">
        <w:rPr>
          <w:sz w:val="28"/>
          <w:szCs w:val="28"/>
        </w:rPr>
        <w:t>, chủ động</w:t>
      </w:r>
      <w:r w:rsidRPr="00D53AB8">
        <w:rPr>
          <w:sz w:val="28"/>
          <w:szCs w:val="28"/>
        </w:rPr>
        <w:t xml:space="preserve"> trong </w:t>
      </w:r>
      <w:r w:rsidR="002F60E6" w:rsidRPr="00D53AB8">
        <w:rPr>
          <w:sz w:val="28"/>
          <w:szCs w:val="28"/>
        </w:rPr>
        <w:t xml:space="preserve">việc triển khai </w:t>
      </w:r>
      <w:r w:rsidRPr="00D53AB8">
        <w:rPr>
          <w:sz w:val="28"/>
          <w:szCs w:val="28"/>
        </w:rPr>
        <w:t>các hoạt động an sinh xã hội</w:t>
      </w:r>
      <w:r w:rsidR="003D15BD">
        <w:rPr>
          <w:sz w:val="28"/>
          <w:szCs w:val="28"/>
        </w:rPr>
        <w:t xml:space="preserve"> với tổng chi phí khoảng 13 tỷ đồng</w:t>
      </w:r>
      <w:r w:rsidRPr="00D53AB8">
        <w:rPr>
          <w:sz w:val="28"/>
          <w:szCs w:val="28"/>
        </w:rPr>
        <w:t xml:space="preserve">. </w:t>
      </w:r>
      <w:r w:rsidR="002F60E6" w:rsidRPr="00D53AB8">
        <w:rPr>
          <w:sz w:val="28"/>
          <w:szCs w:val="28"/>
        </w:rPr>
        <w:t>Năm 2022, b</w:t>
      </w:r>
      <w:r w:rsidRPr="00D53AB8">
        <w:rPr>
          <w:sz w:val="28"/>
          <w:szCs w:val="28"/>
        </w:rPr>
        <w:t xml:space="preserve">ên cạnh các hoạt động thường niên, Tổng công ty đã tập trung triển khai các hoạt động hỗ trợ công tác </w:t>
      </w:r>
      <w:r w:rsidR="002F60E6" w:rsidRPr="00D53AB8">
        <w:rPr>
          <w:sz w:val="28"/>
          <w:szCs w:val="28"/>
        </w:rPr>
        <w:t xml:space="preserve">giáo dục và công tác y tế, phòng chống Covid-19 </w:t>
      </w:r>
      <w:r w:rsidRPr="00D53AB8">
        <w:rPr>
          <w:sz w:val="28"/>
          <w:szCs w:val="28"/>
        </w:rPr>
        <w:t>.</w:t>
      </w:r>
      <w:r w:rsidRPr="00D53AB8">
        <w:rPr>
          <w:sz w:val="28"/>
          <w:szCs w:val="28"/>
          <w:lang w:val="vi-VN"/>
        </w:rPr>
        <w:t xml:space="preserve"> </w:t>
      </w:r>
    </w:p>
    <w:p w14:paraId="78C5DC52" w14:textId="73B514BC" w:rsidR="00C62E05" w:rsidRPr="00C0090B" w:rsidRDefault="0093479C" w:rsidP="00D53AB8">
      <w:pPr>
        <w:tabs>
          <w:tab w:val="left" w:pos="851"/>
        </w:tabs>
        <w:spacing w:before="120" w:after="120" w:line="276" w:lineRule="auto"/>
        <w:ind w:firstLine="709"/>
        <w:jc w:val="both"/>
        <w:rPr>
          <w:sz w:val="28"/>
          <w:szCs w:val="28"/>
        </w:rPr>
      </w:pPr>
      <w:r w:rsidRPr="00D53AB8">
        <w:rPr>
          <w:rStyle w:val="Strong"/>
          <w:sz w:val="28"/>
          <w:szCs w:val="28"/>
        </w:rPr>
        <w:t>Kế hoạch, n</w:t>
      </w:r>
      <w:r w:rsidR="00C62E05" w:rsidRPr="00D53AB8">
        <w:rPr>
          <w:rStyle w:val="Strong"/>
          <w:sz w:val="28"/>
          <w:szCs w:val="28"/>
        </w:rPr>
        <w:t xml:space="preserve">hiệm vụ trọng tâm </w:t>
      </w:r>
      <w:r w:rsidR="00EC390D" w:rsidRPr="00D53AB8">
        <w:rPr>
          <w:rStyle w:val="Strong"/>
          <w:sz w:val="28"/>
          <w:szCs w:val="28"/>
        </w:rPr>
        <w:t xml:space="preserve">năm </w:t>
      </w:r>
      <w:r w:rsidR="000602DB" w:rsidRPr="00D53AB8">
        <w:rPr>
          <w:rStyle w:val="Strong"/>
          <w:sz w:val="28"/>
          <w:szCs w:val="28"/>
          <w:lang w:val="vi-VN"/>
        </w:rPr>
        <w:t>202</w:t>
      </w:r>
      <w:r w:rsidRPr="00D53AB8">
        <w:rPr>
          <w:rStyle w:val="Strong"/>
          <w:sz w:val="28"/>
          <w:szCs w:val="28"/>
        </w:rPr>
        <w:t>3</w:t>
      </w:r>
      <w:r w:rsidR="000D1399" w:rsidRPr="00D53AB8">
        <w:rPr>
          <w:rStyle w:val="Strong"/>
          <w:sz w:val="28"/>
          <w:szCs w:val="28"/>
        </w:rPr>
        <w:t xml:space="preserve">: </w:t>
      </w:r>
      <w:r w:rsidR="00C0090B" w:rsidRPr="00C0090B">
        <w:rPr>
          <w:rStyle w:val="Strong"/>
          <w:sz w:val="28"/>
          <w:szCs w:val="28"/>
        </w:rPr>
        <w:t>Thực hành tiết kiệm, chống lãng phí gắn với nâng cao hiệu quả SXKD - ĐTXD</w:t>
      </w:r>
    </w:p>
    <w:p w14:paraId="3F788348" w14:textId="77777777" w:rsidR="009D73C3" w:rsidRPr="00D53AB8" w:rsidRDefault="00481350" w:rsidP="00D53AB8">
      <w:pPr>
        <w:widowControl w:val="0"/>
        <w:spacing w:before="120" w:after="120" w:line="276" w:lineRule="auto"/>
        <w:ind w:firstLine="567"/>
        <w:jc w:val="both"/>
        <w:rPr>
          <w:rFonts w:eastAsia="Calibri"/>
          <w:sz w:val="28"/>
          <w:szCs w:val="28"/>
        </w:rPr>
      </w:pPr>
      <w:r w:rsidRPr="00D53AB8">
        <w:rPr>
          <w:sz w:val="28"/>
          <w:szCs w:val="28"/>
          <w:lang w:val="da-DK"/>
        </w:rPr>
        <w:t xml:space="preserve">Năm 2023 là năm có ý nghĩa quan trọng, tạo tiền đề cho việc thực hiện mục tiêu kế hoạch 5 năm 2021- 2025 của Tập đoàn Điện lực Việt Nam nói chung và Tổng công ty Phát điện 1 nói riêng. </w:t>
      </w:r>
      <w:r w:rsidR="002F42FC" w:rsidRPr="00D53AB8">
        <w:rPr>
          <w:rFonts w:eastAsia="Calibri"/>
          <w:sz w:val="28"/>
          <w:szCs w:val="28"/>
        </w:rPr>
        <w:t xml:space="preserve">Với tiền đề được tạo ra từ những kết quả đáng khích lệ trong năm 2022, </w:t>
      </w:r>
      <w:r w:rsidR="002F42FC" w:rsidRPr="00D53AB8">
        <w:rPr>
          <w:rFonts w:eastAsia="Calibri"/>
          <w:sz w:val="28"/>
          <w:szCs w:val="28"/>
          <w:lang w:val="vi-VN"/>
        </w:rPr>
        <w:t>Tổng công ty</w:t>
      </w:r>
      <w:r w:rsidR="002F42FC" w:rsidRPr="00D53AB8">
        <w:rPr>
          <w:rFonts w:eastAsia="Calibri"/>
          <w:sz w:val="28"/>
          <w:szCs w:val="28"/>
        </w:rPr>
        <w:t xml:space="preserve"> Phát điện 1</w:t>
      </w:r>
      <w:r w:rsidR="002F42FC" w:rsidRPr="00D53AB8">
        <w:rPr>
          <w:rFonts w:eastAsia="Calibri"/>
          <w:sz w:val="28"/>
          <w:szCs w:val="28"/>
          <w:lang w:val="vi-VN"/>
        </w:rPr>
        <w:t xml:space="preserve"> </w:t>
      </w:r>
      <w:r w:rsidR="002F42FC" w:rsidRPr="00D53AB8">
        <w:rPr>
          <w:rFonts w:eastAsia="Calibri"/>
          <w:sz w:val="28"/>
          <w:szCs w:val="28"/>
        </w:rPr>
        <w:t>phấn đấu hoàn thành các chỉ tiêu kế hoạch được giao.</w:t>
      </w:r>
      <w:r w:rsidR="000D4DB5" w:rsidRPr="00D53AB8">
        <w:rPr>
          <w:rFonts w:eastAsia="Calibri"/>
          <w:sz w:val="28"/>
          <w:szCs w:val="28"/>
        </w:rPr>
        <w:t xml:space="preserve"> </w:t>
      </w:r>
    </w:p>
    <w:p w14:paraId="074CC617" w14:textId="74D0AC20" w:rsidR="00481350" w:rsidRPr="00D53AB8" w:rsidRDefault="000D4DB5" w:rsidP="00D53AB8">
      <w:pPr>
        <w:widowControl w:val="0"/>
        <w:spacing w:before="120" w:after="120" w:line="276" w:lineRule="auto"/>
        <w:ind w:firstLine="567"/>
        <w:jc w:val="both"/>
        <w:rPr>
          <w:sz w:val="28"/>
          <w:szCs w:val="28"/>
        </w:rPr>
      </w:pPr>
      <w:r w:rsidRPr="00D53AB8">
        <w:rPr>
          <w:rFonts w:eastAsia="Calibri"/>
          <w:sz w:val="28"/>
          <w:szCs w:val="28"/>
        </w:rPr>
        <w:t xml:space="preserve">Trong đó, trọng tâm là: </w:t>
      </w:r>
      <w:r w:rsidRPr="00D53AB8">
        <w:rPr>
          <w:sz w:val="28"/>
          <w:szCs w:val="28"/>
          <w:lang w:val="da-DK"/>
        </w:rPr>
        <w:t>Đảm bảo vận hành sản xuất điện an toàn, ổn định và đáp ứng yêu cầu huy động của hệ thống; Đảm bảo cung ứng đủ nhiên liệu cho sản xuất điện; Thực hiện chủ đề năm 2023 của EVN “Thực hành tiết kiệm, chống lãng phí” gắn liền với việc nâng cao hiệu quả trong</w:t>
      </w:r>
      <w:r w:rsidR="00583A5A">
        <w:rPr>
          <w:sz w:val="28"/>
          <w:szCs w:val="28"/>
          <w:lang w:val="da-DK"/>
        </w:rPr>
        <w:t xml:space="preserve"> sản xuất kinh doanh – đầu tư phát triển</w:t>
      </w:r>
      <w:r w:rsidRPr="00D53AB8">
        <w:rPr>
          <w:sz w:val="28"/>
          <w:szCs w:val="28"/>
          <w:lang w:val="da-DK"/>
        </w:rPr>
        <w:t xml:space="preserve"> của Tổng công ty;</w:t>
      </w:r>
      <w:r w:rsidR="009D73C3" w:rsidRPr="00D53AB8">
        <w:rPr>
          <w:sz w:val="28"/>
          <w:szCs w:val="28"/>
          <w:lang w:val="da-DK"/>
        </w:rPr>
        <w:t xml:space="preserve"> </w:t>
      </w:r>
      <w:r w:rsidR="009D73C3" w:rsidRPr="00D53AB8">
        <w:rPr>
          <w:spacing w:val="-4"/>
          <w:sz w:val="28"/>
          <w:szCs w:val="28"/>
          <w:lang w:val="vi-VN"/>
        </w:rPr>
        <w:t xml:space="preserve">Đảm bảo hoàn thành công tác </w:t>
      </w:r>
      <w:r w:rsidR="00583A5A">
        <w:rPr>
          <w:spacing w:val="-4"/>
          <w:sz w:val="28"/>
          <w:szCs w:val="28"/>
        </w:rPr>
        <w:t>chuẩn bị đầu tư</w:t>
      </w:r>
      <w:r w:rsidR="009D73C3" w:rsidRPr="00D53AB8">
        <w:rPr>
          <w:spacing w:val="-4"/>
          <w:sz w:val="28"/>
          <w:szCs w:val="28"/>
          <w:lang w:val="vi-VN"/>
        </w:rPr>
        <w:t xml:space="preserve"> các dự án nâng cấp, cải tạo phục vụ hoạt động SXKD; </w:t>
      </w:r>
      <w:r w:rsidR="009D73C3" w:rsidRPr="00D53AB8">
        <w:rPr>
          <w:spacing w:val="-4"/>
          <w:sz w:val="28"/>
          <w:szCs w:val="28"/>
          <w:lang w:val="da-DK"/>
        </w:rPr>
        <w:t xml:space="preserve">tiếp tục triển khai nghiên cứu và xúc tiến đầu tư các dự án nguồn điện mới </w:t>
      </w:r>
      <w:r w:rsidR="009D73C3" w:rsidRPr="00D53AB8">
        <w:rPr>
          <w:color w:val="000000"/>
          <w:spacing w:val="-4"/>
          <w:sz w:val="28"/>
          <w:szCs w:val="28"/>
          <w:lang w:val="da-DK"/>
        </w:rPr>
        <w:t>theo quy</w:t>
      </w:r>
      <w:r w:rsidR="009D73C3" w:rsidRPr="00D53AB8">
        <w:rPr>
          <w:color w:val="000000"/>
          <w:spacing w:val="-4"/>
          <w:sz w:val="28"/>
          <w:szCs w:val="28"/>
          <w:lang w:val="vi-VN"/>
        </w:rPr>
        <w:t xml:space="preserve"> </w:t>
      </w:r>
      <w:r w:rsidR="009D73C3" w:rsidRPr="00D53AB8">
        <w:rPr>
          <w:color w:val="000000"/>
          <w:spacing w:val="-4"/>
          <w:sz w:val="28"/>
          <w:szCs w:val="28"/>
          <w:lang w:val="da-DK"/>
        </w:rPr>
        <w:t xml:space="preserve">hoạch được duyệt; </w:t>
      </w:r>
      <w:r w:rsidR="009D73C3" w:rsidRPr="00D53AB8">
        <w:rPr>
          <w:spacing w:val="-4"/>
          <w:sz w:val="28"/>
          <w:szCs w:val="28"/>
          <w:lang w:val="vi-VN"/>
        </w:rPr>
        <w:t>Đảm bảo chất lượng và tiến độ thi công các dự án đang triển khai</w:t>
      </w:r>
      <w:r w:rsidR="009D73C3" w:rsidRPr="00D53AB8">
        <w:rPr>
          <w:spacing w:val="-4"/>
          <w:sz w:val="28"/>
          <w:szCs w:val="28"/>
        </w:rPr>
        <w:t xml:space="preserve">; </w:t>
      </w:r>
      <w:r w:rsidR="009D73C3" w:rsidRPr="00D53AB8">
        <w:rPr>
          <w:spacing w:val="-4"/>
          <w:sz w:val="28"/>
          <w:szCs w:val="28"/>
          <w:lang w:val="da-DK"/>
        </w:rPr>
        <w:t>Đảm bảo việc làm và thu nhập, chăm lo đời sống vật chất và tinh thần cho CBCNV...</w:t>
      </w:r>
    </w:p>
    <w:p w14:paraId="4A206315" w14:textId="3E41E2AC" w:rsidR="001F14A3" w:rsidRPr="00D53AB8" w:rsidRDefault="001F14A3" w:rsidP="00D53AB8">
      <w:pPr>
        <w:shd w:val="clear" w:color="auto" w:fill="FFFFFF"/>
        <w:spacing w:before="120" w:after="120" w:line="276" w:lineRule="auto"/>
        <w:ind w:firstLine="720"/>
        <w:jc w:val="both"/>
        <w:rPr>
          <w:rFonts w:eastAsia="Calibri"/>
          <w:sz w:val="28"/>
          <w:szCs w:val="28"/>
        </w:rPr>
      </w:pPr>
      <w:r w:rsidRPr="00D53AB8">
        <w:rPr>
          <w:rFonts w:eastAsia="Calibri"/>
          <w:sz w:val="28"/>
          <w:szCs w:val="28"/>
        </w:rPr>
        <w:t>Đề hoàn thành sản lượng điện được giao năm 202</w:t>
      </w:r>
      <w:r w:rsidR="002A74DA" w:rsidRPr="00D53AB8">
        <w:rPr>
          <w:rFonts w:eastAsia="Calibri"/>
          <w:sz w:val="28"/>
          <w:szCs w:val="28"/>
        </w:rPr>
        <w:t>3</w:t>
      </w:r>
      <w:r w:rsidR="001E6180" w:rsidRPr="00D53AB8">
        <w:rPr>
          <w:rFonts w:eastAsia="Calibri"/>
          <w:sz w:val="28"/>
          <w:szCs w:val="28"/>
        </w:rPr>
        <w:t xml:space="preserve"> là </w:t>
      </w:r>
      <w:r w:rsidR="001E6180" w:rsidRPr="00650EC5">
        <w:rPr>
          <w:bCs/>
          <w:sz w:val="28"/>
          <w:szCs w:val="28"/>
          <w:lang w:val="da-DK"/>
        </w:rPr>
        <w:t>36.526 triệu kWh</w:t>
      </w:r>
      <w:r w:rsidRPr="00D53AB8">
        <w:rPr>
          <w:rFonts w:eastAsia="Calibri"/>
          <w:sz w:val="28"/>
          <w:szCs w:val="28"/>
        </w:rPr>
        <w:t>, EVN</w:t>
      </w:r>
      <w:r w:rsidRPr="00D53AB8">
        <w:rPr>
          <w:rFonts w:eastAsia="Calibri"/>
          <w:i/>
          <w:sz w:val="28"/>
          <w:szCs w:val="28"/>
        </w:rPr>
        <w:t xml:space="preserve">GENCO1 </w:t>
      </w:r>
      <w:r w:rsidR="00650EC5">
        <w:rPr>
          <w:rFonts w:eastAsia="Calibri"/>
          <w:sz w:val="28"/>
          <w:szCs w:val="28"/>
        </w:rPr>
        <w:t>tập trung</w:t>
      </w:r>
      <w:r w:rsidRPr="00D53AB8">
        <w:rPr>
          <w:rFonts w:eastAsia="Calibri"/>
          <w:sz w:val="28"/>
          <w:szCs w:val="28"/>
        </w:rPr>
        <w:t xml:space="preserve"> hoàn thành tốt </w:t>
      </w:r>
      <w:r w:rsidR="001E6180" w:rsidRPr="00D53AB8">
        <w:rPr>
          <w:rFonts w:eastAsia="Calibri"/>
          <w:sz w:val="28"/>
          <w:szCs w:val="28"/>
        </w:rPr>
        <w:t>công tác bảo dưỡng sửa chữa</w:t>
      </w:r>
      <w:r w:rsidRPr="00D53AB8">
        <w:rPr>
          <w:rFonts w:eastAsia="Calibri"/>
          <w:sz w:val="28"/>
          <w:szCs w:val="28"/>
        </w:rPr>
        <w:t xml:space="preserve">, triển khai công tác đầu tư xây dựng đúng tiến độ được phê duyệt, </w:t>
      </w:r>
      <w:r w:rsidR="00650EC5" w:rsidRPr="00D53AB8">
        <w:rPr>
          <w:spacing w:val="-4"/>
          <w:sz w:val="28"/>
          <w:szCs w:val="28"/>
        </w:rPr>
        <w:t xml:space="preserve">các đơn vị thủy điện </w:t>
      </w:r>
      <w:r w:rsidR="001E6180" w:rsidRPr="00D53AB8">
        <w:rPr>
          <w:spacing w:val="-4"/>
          <w:sz w:val="28"/>
          <w:szCs w:val="28"/>
        </w:rPr>
        <w:t>phối hợp tốt với địa phương sử dụng tiết kiệm, hiệu quả nguồn nước</w:t>
      </w:r>
      <w:r w:rsidR="00D53AB8" w:rsidRPr="00D53AB8">
        <w:rPr>
          <w:spacing w:val="-4"/>
          <w:sz w:val="28"/>
          <w:szCs w:val="28"/>
        </w:rPr>
        <w:t>, v</w:t>
      </w:r>
      <w:r w:rsidR="001E6180" w:rsidRPr="00D53AB8">
        <w:rPr>
          <w:spacing w:val="-4"/>
          <w:sz w:val="28"/>
          <w:szCs w:val="28"/>
        </w:rPr>
        <w:t>ận hành bám quy trình hồ chứa</w:t>
      </w:r>
      <w:r w:rsidR="00D53AB8" w:rsidRPr="00D53AB8">
        <w:rPr>
          <w:spacing w:val="-4"/>
          <w:sz w:val="28"/>
          <w:szCs w:val="28"/>
        </w:rPr>
        <w:t xml:space="preserve"> và</w:t>
      </w:r>
      <w:r w:rsidR="001E6180" w:rsidRPr="00D53AB8">
        <w:rPr>
          <w:rFonts w:eastAsia="Calibri"/>
          <w:sz w:val="28"/>
          <w:szCs w:val="28"/>
        </w:rPr>
        <w:t xml:space="preserve"> </w:t>
      </w:r>
      <w:r w:rsidR="00650EC5" w:rsidRPr="00D53AB8">
        <w:rPr>
          <w:rFonts w:eastAsia="Calibri"/>
          <w:sz w:val="28"/>
          <w:szCs w:val="28"/>
        </w:rPr>
        <w:t xml:space="preserve">các đơn vị nhiệt điện </w:t>
      </w:r>
      <w:r w:rsidRPr="00D53AB8">
        <w:rPr>
          <w:rFonts w:eastAsia="Calibri"/>
          <w:sz w:val="28"/>
          <w:szCs w:val="28"/>
        </w:rPr>
        <w:t>chủ động, linh hoạt trong công tác đàm phán hợp đồng cung cấp than</w:t>
      </w:r>
      <w:r w:rsidR="00D53AB8" w:rsidRPr="00D53AB8">
        <w:rPr>
          <w:rFonts w:eastAsia="Calibri"/>
          <w:sz w:val="28"/>
          <w:szCs w:val="28"/>
        </w:rPr>
        <w:t>.</w:t>
      </w:r>
      <w:r w:rsidRPr="00D53AB8">
        <w:rPr>
          <w:rFonts w:eastAsia="Calibri"/>
          <w:sz w:val="28"/>
          <w:szCs w:val="28"/>
        </w:rPr>
        <w:t xml:space="preserve"> </w:t>
      </w:r>
    </w:p>
    <w:p w14:paraId="5785ED2D" w14:textId="037E1A12" w:rsidR="001F14A3" w:rsidRDefault="001F14A3" w:rsidP="00D53AB8">
      <w:pPr>
        <w:spacing w:before="120" w:after="120" w:line="276" w:lineRule="auto"/>
        <w:ind w:firstLine="720"/>
        <w:jc w:val="both"/>
        <w:rPr>
          <w:rFonts w:eastAsia="Calibri"/>
          <w:sz w:val="28"/>
          <w:szCs w:val="28"/>
          <w:lang w:val="vi-VN"/>
        </w:rPr>
      </w:pPr>
      <w:r w:rsidRPr="00D53AB8">
        <w:rPr>
          <w:rFonts w:eastAsia="Calibri"/>
          <w:sz w:val="28"/>
          <w:szCs w:val="28"/>
          <w:lang w:val="vi-VN"/>
        </w:rPr>
        <w:t>T</w:t>
      </w:r>
      <w:r w:rsidRPr="00D53AB8">
        <w:rPr>
          <w:rFonts w:eastAsia="Calibri"/>
          <w:sz w:val="28"/>
          <w:szCs w:val="28"/>
        </w:rPr>
        <w:t>ổng</w:t>
      </w:r>
      <w:r w:rsidRPr="00D53AB8">
        <w:rPr>
          <w:rFonts w:eastAsia="Calibri"/>
          <w:sz w:val="28"/>
          <w:szCs w:val="28"/>
          <w:lang w:val="vi-VN"/>
        </w:rPr>
        <w:t xml:space="preserve"> công ty cũng </w:t>
      </w:r>
      <w:r w:rsidRPr="00D53AB8">
        <w:rPr>
          <w:rFonts w:eastAsia="Calibri"/>
          <w:sz w:val="28"/>
          <w:szCs w:val="28"/>
        </w:rPr>
        <w:t>t</w:t>
      </w:r>
      <w:r w:rsidRPr="00D53AB8">
        <w:rPr>
          <w:rFonts w:eastAsia="Calibri"/>
          <w:sz w:val="28"/>
          <w:szCs w:val="28"/>
          <w:lang w:val="vi-VN"/>
        </w:rPr>
        <w:t xml:space="preserve">hực hiện </w:t>
      </w:r>
      <w:r w:rsidR="00650EC5">
        <w:rPr>
          <w:rFonts w:eastAsia="Calibri"/>
          <w:sz w:val="28"/>
          <w:szCs w:val="28"/>
        </w:rPr>
        <w:t xml:space="preserve">đồng bộ </w:t>
      </w:r>
      <w:r w:rsidRPr="00D53AB8">
        <w:rPr>
          <w:rFonts w:eastAsia="Calibri"/>
          <w:sz w:val="28"/>
          <w:szCs w:val="28"/>
          <w:lang w:val="vi-VN"/>
        </w:rPr>
        <w:t>các giải pháp</w:t>
      </w:r>
      <w:r w:rsidR="00650EC5">
        <w:rPr>
          <w:rFonts w:eastAsia="Calibri"/>
          <w:sz w:val="28"/>
          <w:szCs w:val="28"/>
        </w:rPr>
        <w:t xml:space="preserve"> </w:t>
      </w:r>
      <w:r w:rsidRPr="00D53AB8">
        <w:rPr>
          <w:rFonts w:eastAsia="Calibri"/>
          <w:sz w:val="28"/>
          <w:szCs w:val="28"/>
          <w:lang w:val="vi-VN"/>
        </w:rPr>
        <w:t>để đạt được các chỉ tiêu được giao năm 20</w:t>
      </w:r>
      <w:r w:rsidRPr="00D53AB8">
        <w:rPr>
          <w:rFonts w:eastAsia="Calibri"/>
          <w:sz w:val="28"/>
          <w:szCs w:val="28"/>
        </w:rPr>
        <w:t>2</w:t>
      </w:r>
      <w:r w:rsidR="001E6180" w:rsidRPr="00D53AB8">
        <w:rPr>
          <w:rFonts w:eastAsia="Calibri"/>
          <w:sz w:val="28"/>
          <w:szCs w:val="28"/>
        </w:rPr>
        <w:t>3</w:t>
      </w:r>
      <w:r w:rsidRPr="00D53AB8">
        <w:rPr>
          <w:rFonts w:eastAsia="Calibri"/>
          <w:sz w:val="28"/>
          <w:szCs w:val="28"/>
          <w:lang w:val="vi-VN"/>
        </w:rPr>
        <w:t xml:space="preserve"> về nâng cao hiệu quả vận hành, các chỉ tiêu về tài chính, đầu tư xây dựng và </w:t>
      </w:r>
      <w:r w:rsidRPr="00D53AB8">
        <w:rPr>
          <w:rFonts w:eastAsia="Calibri"/>
          <w:sz w:val="28"/>
          <w:szCs w:val="28"/>
        </w:rPr>
        <w:t>n</w:t>
      </w:r>
      <w:r w:rsidRPr="00D53AB8">
        <w:rPr>
          <w:rFonts w:eastAsia="Calibri"/>
          <w:sz w:val="28"/>
          <w:szCs w:val="28"/>
          <w:lang w:val="vi-VN"/>
        </w:rPr>
        <w:t>ăng suất lao động để đảm bảo các tổ máy phát điện ở trạng thái sẵn sàng tham gia phát điện khi có yêu cầu, hoạt động SXKD điện có lợi nhuận.</w:t>
      </w:r>
    </w:p>
    <w:p w14:paraId="17BAC416" w14:textId="491C3367" w:rsidR="006550C9" w:rsidRPr="006550C9" w:rsidRDefault="006550C9" w:rsidP="00D53AB8">
      <w:pPr>
        <w:spacing w:before="120" w:after="120" w:line="276" w:lineRule="auto"/>
        <w:ind w:firstLine="720"/>
        <w:jc w:val="both"/>
        <w:rPr>
          <w:rFonts w:eastAsia="Calibri"/>
          <w:sz w:val="28"/>
          <w:szCs w:val="28"/>
        </w:rPr>
      </w:pPr>
      <w:r>
        <w:rPr>
          <w:rFonts w:eastAsia="Calibri"/>
          <w:sz w:val="28"/>
          <w:szCs w:val="28"/>
        </w:rPr>
        <w:t>Với việc nhận định tình hình và chủ động xây dựng kế hoạch, giải pháp như trên, EVN</w:t>
      </w:r>
      <w:r w:rsidRPr="00261DD0">
        <w:rPr>
          <w:rFonts w:eastAsia="Calibri"/>
          <w:i/>
          <w:iCs/>
          <w:sz w:val="28"/>
          <w:szCs w:val="28"/>
        </w:rPr>
        <w:t>GENCO1</w:t>
      </w:r>
      <w:r>
        <w:rPr>
          <w:rFonts w:eastAsia="Calibri"/>
          <w:sz w:val="28"/>
          <w:szCs w:val="28"/>
        </w:rPr>
        <w:t xml:space="preserve"> hướng tới mục tiêu hoàn thành tốt nhiệm vụ SXKD – ĐTXD được giao, cơ bản trở thành doanh nghiệp số trong năm 2025, đồng thời tiếp tục triển khai có hiệu quả công tác an sinh xã hội, thực hiện tốt trách nhiệm của doanh nghiệp với cộng đồng xã hội.</w:t>
      </w:r>
    </w:p>
    <w:p w14:paraId="71614E97" w14:textId="0A47C272" w:rsidR="006F2FC7" w:rsidRPr="006F2FC7" w:rsidRDefault="001F14A3" w:rsidP="006F2FC7">
      <w:pPr>
        <w:pStyle w:val="BodyText"/>
        <w:spacing w:before="120" w:line="276" w:lineRule="auto"/>
        <w:ind w:firstLine="567"/>
        <w:jc w:val="both"/>
        <w:rPr>
          <w:rFonts w:ascii="Times New Roman" w:hAnsi="Times New Roman" w:cs="Times New Roman"/>
          <w:sz w:val="28"/>
          <w:szCs w:val="28"/>
        </w:rPr>
      </w:pPr>
      <w:r w:rsidRPr="006F2FC7">
        <w:rPr>
          <w:rFonts w:ascii="Times New Roman" w:eastAsia="Calibri" w:hAnsi="Times New Roman" w:cs="Times New Roman"/>
          <w:sz w:val="28"/>
          <w:szCs w:val="28"/>
        </w:rPr>
        <w:lastRenderedPageBreak/>
        <w:t xml:space="preserve">* Trong khuôn khổ Hội nghị, các Quyết định khen thưởng của </w:t>
      </w:r>
      <w:r w:rsidR="006F2FC7" w:rsidRPr="006F2FC7">
        <w:rPr>
          <w:rFonts w:ascii="Times New Roman" w:hAnsi="Times New Roman" w:cs="Times New Roman"/>
          <w:sz w:val="28"/>
          <w:szCs w:val="28"/>
          <w:lang w:val="vi-VN"/>
        </w:rPr>
        <w:t>Chủ tịch Ủy ban Quản lý vốn nhà nước tại doanh nghiệp và Lãnh đạo Tập đoàn Điện lực Việt Nam</w:t>
      </w:r>
      <w:r w:rsidR="006F2FC7" w:rsidRPr="006F2FC7">
        <w:rPr>
          <w:rFonts w:ascii="Times New Roman" w:hAnsi="Times New Roman" w:cs="Times New Roman"/>
          <w:sz w:val="28"/>
          <w:szCs w:val="28"/>
        </w:rPr>
        <w:t xml:space="preserve"> đối với các tập thể có </w:t>
      </w:r>
      <w:r w:rsidR="006F2FC7" w:rsidRPr="006F2FC7">
        <w:rPr>
          <w:rFonts w:ascii="Times New Roman" w:hAnsi="Times New Roman" w:cs="Times New Roman"/>
          <w:sz w:val="28"/>
          <w:szCs w:val="28"/>
          <w:lang w:val="vi-VN"/>
        </w:rPr>
        <w:t>thành tích hoàn thành xuất sắc nhiệm vụ công tác năm 202</w:t>
      </w:r>
      <w:r w:rsidR="006F2FC7" w:rsidRPr="006F2FC7">
        <w:rPr>
          <w:rFonts w:ascii="Times New Roman" w:hAnsi="Times New Roman" w:cs="Times New Roman"/>
          <w:sz w:val="28"/>
          <w:szCs w:val="28"/>
        </w:rPr>
        <w:t>2 thuộc Tổng công ty đã được công bố và trao tặng.</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p w14:paraId="1837753E" w14:textId="51F62828" w:rsidR="005D6072" w:rsidRPr="0063468F" w:rsidRDefault="005D6072" w:rsidP="00087B5B">
      <w:pPr>
        <w:pStyle w:val="Header"/>
        <w:tabs>
          <w:tab w:val="clear" w:pos="4320"/>
          <w:tab w:val="clear" w:pos="8640"/>
        </w:tabs>
        <w:spacing w:before="60" w:line="280" w:lineRule="exact"/>
        <w:rPr>
          <w:color w:val="000000" w:themeColor="text1"/>
          <w:sz w:val="24"/>
          <w:szCs w:val="24"/>
          <w:lang w:val="vi-VN"/>
        </w:rPr>
      </w:pPr>
    </w:p>
    <w:sectPr w:rsidR="005D6072"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256D5"/>
    <w:multiLevelType w:val="hybridMultilevel"/>
    <w:tmpl w:val="F5AECE6A"/>
    <w:lvl w:ilvl="0" w:tplc="0BAAF6D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5B9A"/>
    <w:rsid w:val="00006502"/>
    <w:rsid w:val="00007666"/>
    <w:rsid w:val="0001018C"/>
    <w:rsid w:val="000602DB"/>
    <w:rsid w:val="00060CAD"/>
    <w:rsid w:val="0006198B"/>
    <w:rsid w:val="000641A4"/>
    <w:rsid w:val="00087B5B"/>
    <w:rsid w:val="00087D88"/>
    <w:rsid w:val="000B2225"/>
    <w:rsid w:val="000B55E0"/>
    <w:rsid w:val="000B7AD1"/>
    <w:rsid w:val="000C6CC6"/>
    <w:rsid w:val="000D1399"/>
    <w:rsid w:val="000D4DB5"/>
    <w:rsid w:val="000E3A41"/>
    <w:rsid w:val="000F5141"/>
    <w:rsid w:val="00100847"/>
    <w:rsid w:val="00103532"/>
    <w:rsid w:val="00106A2E"/>
    <w:rsid w:val="00150437"/>
    <w:rsid w:val="00150C74"/>
    <w:rsid w:val="00154341"/>
    <w:rsid w:val="00164120"/>
    <w:rsid w:val="00173473"/>
    <w:rsid w:val="00177728"/>
    <w:rsid w:val="001779E3"/>
    <w:rsid w:val="00180489"/>
    <w:rsid w:val="00193EB2"/>
    <w:rsid w:val="001A1646"/>
    <w:rsid w:val="001A57D3"/>
    <w:rsid w:val="001B3681"/>
    <w:rsid w:val="001B5E81"/>
    <w:rsid w:val="001D3A83"/>
    <w:rsid w:val="001E6180"/>
    <w:rsid w:val="001E6C66"/>
    <w:rsid w:val="001E6F73"/>
    <w:rsid w:val="001F14A3"/>
    <w:rsid w:val="001F1E5F"/>
    <w:rsid w:val="001F2B43"/>
    <w:rsid w:val="001F4220"/>
    <w:rsid w:val="00203EAE"/>
    <w:rsid w:val="0020612E"/>
    <w:rsid w:val="002103DE"/>
    <w:rsid w:val="00211813"/>
    <w:rsid w:val="00214D31"/>
    <w:rsid w:val="0022294A"/>
    <w:rsid w:val="00227EFE"/>
    <w:rsid w:val="00233255"/>
    <w:rsid w:val="0024567E"/>
    <w:rsid w:val="00247278"/>
    <w:rsid w:val="00247C38"/>
    <w:rsid w:val="00261DD0"/>
    <w:rsid w:val="002656A2"/>
    <w:rsid w:val="00271E72"/>
    <w:rsid w:val="002833C3"/>
    <w:rsid w:val="00292E4D"/>
    <w:rsid w:val="00292F7F"/>
    <w:rsid w:val="00295CB6"/>
    <w:rsid w:val="002A74DA"/>
    <w:rsid w:val="002B3E92"/>
    <w:rsid w:val="002B3F13"/>
    <w:rsid w:val="002C1216"/>
    <w:rsid w:val="002C1B08"/>
    <w:rsid w:val="002C5DF1"/>
    <w:rsid w:val="002C64CD"/>
    <w:rsid w:val="002D3D68"/>
    <w:rsid w:val="002E522A"/>
    <w:rsid w:val="002E717C"/>
    <w:rsid w:val="002F42FC"/>
    <w:rsid w:val="002F60E6"/>
    <w:rsid w:val="0030337A"/>
    <w:rsid w:val="0030431A"/>
    <w:rsid w:val="003071E7"/>
    <w:rsid w:val="003105CB"/>
    <w:rsid w:val="00313211"/>
    <w:rsid w:val="00314CCA"/>
    <w:rsid w:val="00331057"/>
    <w:rsid w:val="00341005"/>
    <w:rsid w:val="003432F2"/>
    <w:rsid w:val="003467FA"/>
    <w:rsid w:val="00347365"/>
    <w:rsid w:val="00353C8E"/>
    <w:rsid w:val="00354395"/>
    <w:rsid w:val="0035725F"/>
    <w:rsid w:val="00366EF5"/>
    <w:rsid w:val="00373913"/>
    <w:rsid w:val="00375F4C"/>
    <w:rsid w:val="003777F1"/>
    <w:rsid w:val="00381176"/>
    <w:rsid w:val="003816C5"/>
    <w:rsid w:val="00382AE1"/>
    <w:rsid w:val="003922A0"/>
    <w:rsid w:val="00394158"/>
    <w:rsid w:val="003965A7"/>
    <w:rsid w:val="003A13F9"/>
    <w:rsid w:val="003D0C7D"/>
    <w:rsid w:val="003D15BD"/>
    <w:rsid w:val="003E4221"/>
    <w:rsid w:val="003E617E"/>
    <w:rsid w:val="003F7044"/>
    <w:rsid w:val="003F7988"/>
    <w:rsid w:val="00401B6C"/>
    <w:rsid w:val="00405A11"/>
    <w:rsid w:val="00414218"/>
    <w:rsid w:val="0041506D"/>
    <w:rsid w:val="004218F6"/>
    <w:rsid w:val="004220A8"/>
    <w:rsid w:val="00431C01"/>
    <w:rsid w:val="004332DB"/>
    <w:rsid w:val="00454BF0"/>
    <w:rsid w:val="004550E3"/>
    <w:rsid w:val="004719BA"/>
    <w:rsid w:val="00471F7B"/>
    <w:rsid w:val="00481350"/>
    <w:rsid w:val="004966BD"/>
    <w:rsid w:val="004A3F3E"/>
    <w:rsid w:val="004A6D6C"/>
    <w:rsid w:val="004B727E"/>
    <w:rsid w:val="004C48D4"/>
    <w:rsid w:val="004C6FC9"/>
    <w:rsid w:val="004E02CF"/>
    <w:rsid w:val="004F0243"/>
    <w:rsid w:val="004F4829"/>
    <w:rsid w:val="004F5193"/>
    <w:rsid w:val="00502CA2"/>
    <w:rsid w:val="00525266"/>
    <w:rsid w:val="0052668D"/>
    <w:rsid w:val="00533ED7"/>
    <w:rsid w:val="00540CF1"/>
    <w:rsid w:val="005500B6"/>
    <w:rsid w:val="00561FD5"/>
    <w:rsid w:val="00562A31"/>
    <w:rsid w:val="00567E40"/>
    <w:rsid w:val="00571DB1"/>
    <w:rsid w:val="0057425B"/>
    <w:rsid w:val="00581AA3"/>
    <w:rsid w:val="00583A5A"/>
    <w:rsid w:val="005A1841"/>
    <w:rsid w:val="005A64A6"/>
    <w:rsid w:val="005B0C18"/>
    <w:rsid w:val="005B236A"/>
    <w:rsid w:val="005B32D1"/>
    <w:rsid w:val="005B5B89"/>
    <w:rsid w:val="005B7320"/>
    <w:rsid w:val="005C157A"/>
    <w:rsid w:val="005C2EC3"/>
    <w:rsid w:val="005C71A2"/>
    <w:rsid w:val="005D42F4"/>
    <w:rsid w:val="005D5ABD"/>
    <w:rsid w:val="005D6072"/>
    <w:rsid w:val="005D73C4"/>
    <w:rsid w:val="005E22E3"/>
    <w:rsid w:val="005F250F"/>
    <w:rsid w:val="00603CA3"/>
    <w:rsid w:val="00604D81"/>
    <w:rsid w:val="00610020"/>
    <w:rsid w:val="00632DF3"/>
    <w:rsid w:val="006337C9"/>
    <w:rsid w:val="0063468F"/>
    <w:rsid w:val="00636544"/>
    <w:rsid w:val="00642E99"/>
    <w:rsid w:val="00650EC5"/>
    <w:rsid w:val="006550C9"/>
    <w:rsid w:val="0065796F"/>
    <w:rsid w:val="00665C2E"/>
    <w:rsid w:val="00676F24"/>
    <w:rsid w:val="006846EF"/>
    <w:rsid w:val="00691AC1"/>
    <w:rsid w:val="00693368"/>
    <w:rsid w:val="006A1C36"/>
    <w:rsid w:val="006A56BE"/>
    <w:rsid w:val="006A5D48"/>
    <w:rsid w:val="006B7FDB"/>
    <w:rsid w:val="006C105A"/>
    <w:rsid w:val="006C6F91"/>
    <w:rsid w:val="006C7286"/>
    <w:rsid w:val="006D20F0"/>
    <w:rsid w:val="006D503C"/>
    <w:rsid w:val="006F0336"/>
    <w:rsid w:val="006F2FC7"/>
    <w:rsid w:val="006F3BFC"/>
    <w:rsid w:val="00704D63"/>
    <w:rsid w:val="007064DD"/>
    <w:rsid w:val="0071274C"/>
    <w:rsid w:val="00724E9A"/>
    <w:rsid w:val="007600AE"/>
    <w:rsid w:val="00795973"/>
    <w:rsid w:val="007B3C8A"/>
    <w:rsid w:val="007B6F13"/>
    <w:rsid w:val="007C669D"/>
    <w:rsid w:val="007D5D3D"/>
    <w:rsid w:val="007E3870"/>
    <w:rsid w:val="007E67F5"/>
    <w:rsid w:val="00803375"/>
    <w:rsid w:val="00822E24"/>
    <w:rsid w:val="00824C24"/>
    <w:rsid w:val="00824F97"/>
    <w:rsid w:val="00837F84"/>
    <w:rsid w:val="00843D22"/>
    <w:rsid w:val="00853349"/>
    <w:rsid w:val="00855A02"/>
    <w:rsid w:val="00856296"/>
    <w:rsid w:val="008677F1"/>
    <w:rsid w:val="00873CA6"/>
    <w:rsid w:val="00887954"/>
    <w:rsid w:val="0089413E"/>
    <w:rsid w:val="00895AD9"/>
    <w:rsid w:val="00897252"/>
    <w:rsid w:val="008B17CD"/>
    <w:rsid w:val="008C495D"/>
    <w:rsid w:val="008C6923"/>
    <w:rsid w:val="008E0706"/>
    <w:rsid w:val="008E4E10"/>
    <w:rsid w:val="008E72D7"/>
    <w:rsid w:val="008E74FF"/>
    <w:rsid w:val="008F75DA"/>
    <w:rsid w:val="008F7C0D"/>
    <w:rsid w:val="00901628"/>
    <w:rsid w:val="00916942"/>
    <w:rsid w:val="00922529"/>
    <w:rsid w:val="009246E9"/>
    <w:rsid w:val="00930A86"/>
    <w:rsid w:val="00930E9A"/>
    <w:rsid w:val="0093479C"/>
    <w:rsid w:val="0093577C"/>
    <w:rsid w:val="009424A9"/>
    <w:rsid w:val="00946680"/>
    <w:rsid w:val="00960249"/>
    <w:rsid w:val="00967AA0"/>
    <w:rsid w:val="00990D68"/>
    <w:rsid w:val="009915D0"/>
    <w:rsid w:val="00991DB7"/>
    <w:rsid w:val="0099271F"/>
    <w:rsid w:val="009975A8"/>
    <w:rsid w:val="009A2BAF"/>
    <w:rsid w:val="009A4742"/>
    <w:rsid w:val="009A6F95"/>
    <w:rsid w:val="009B4C8F"/>
    <w:rsid w:val="009B4D67"/>
    <w:rsid w:val="009C0D78"/>
    <w:rsid w:val="009C5597"/>
    <w:rsid w:val="009D73C3"/>
    <w:rsid w:val="009D7F07"/>
    <w:rsid w:val="009F6EDB"/>
    <w:rsid w:val="00A0098E"/>
    <w:rsid w:val="00A11B17"/>
    <w:rsid w:val="00A304AE"/>
    <w:rsid w:val="00A34CF0"/>
    <w:rsid w:val="00A34F95"/>
    <w:rsid w:val="00A461C7"/>
    <w:rsid w:val="00A54233"/>
    <w:rsid w:val="00A56660"/>
    <w:rsid w:val="00A64B23"/>
    <w:rsid w:val="00AA067E"/>
    <w:rsid w:val="00AA3A3E"/>
    <w:rsid w:val="00AA73B1"/>
    <w:rsid w:val="00AB15D6"/>
    <w:rsid w:val="00AB234B"/>
    <w:rsid w:val="00AB2936"/>
    <w:rsid w:val="00AB5B24"/>
    <w:rsid w:val="00AD134F"/>
    <w:rsid w:val="00AD7DA5"/>
    <w:rsid w:val="00AE0AE3"/>
    <w:rsid w:val="00AE0EB9"/>
    <w:rsid w:val="00AF698E"/>
    <w:rsid w:val="00B014E8"/>
    <w:rsid w:val="00B06807"/>
    <w:rsid w:val="00B10ACF"/>
    <w:rsid w:val="00B25AD3"/>
    <w:rsid w:val="00B31912"/>
    <w:rsid w:val="00B341E2"/>
    <w:rsid w:val="00B43B80"/>
    <w:rsid w:val="00B65005"/>
    <w:rsid w:val="00B701B0"/>
    <w:rsid w:val="00B72B1F"/>
    <w:rsid w:val="00B73815"/>
    <w:rsid w:val="00B8003E"/>
    <w:rsid w:val="00B96523"/>
    <w:rsid w:val="00B97F74"/>
    <w:rsid w:val="00BC050A"/>
    <w:rsid w:val="00BC6FEF"/>
    <w:rsid w:val="00BD77F9"/>
    <w:rsid w:val="00BD7F1A"/>
    <w:rsid w:val="00BE14E4"/>
    <w:rsid w:val="00BE5D8F"/>
    <w:rsid w:val="00BF1F54"/>
    <w:rsid w:val="00BF5A6B"/>
    <w:rsid w:val="00BF6CA7"/>
    <w:rsid w:val="00BF70F4"/>
    <w:rsid w:val="00BF768A"/>
    <w:rsid w:val="00C0090B"/>
    <w:rsid w:val="00C00C65"/>
    <w:rsid w:val="00C07621"/>
    <w:rsid w:val="00C10B14"/>
    <w:rsid w:val="00C12171"/>
    <w:rsid w:val="00C13433"/>
    <w:rsid w:val="00C14D1F"/>
    <w:rsid w:val="00C21D0C"/>
    <w:rsid w:val="00C229D3"/>
    <w:rsid w:val="00C22B09"/>
    <w:rsid w:val="00C30412"/>
    <w:rsid w:val="00C35F0A"/>
    <w:rsid w:val="00C36767"/>
    <w:rsid w:val="00C413FD"/>
    <w:rsid w:val="00C436C2"/>
    <w:rsid w:val="00C442C1"/>
    <w:rsid w:val="00C47B95"/>
    <w:rsid w:val="00C51635"/>
    <w:rsid w:val="00C55F63"/>
    <w:rsid w:val="00C57894"/>
    <w:rsid w:val="00C62E05"/>
    <w:rsid w:val="00C80BD4"/>
    <w:rsid w:val="00C82773"/>
    <w:rsid w:val="00C83A48"/>
    <w:rsid w:val="00C841B2"/>
    <w:rsid w:val="00C8644C"/>
    <w:rsid w:val="00C9453E"/>
    <w:rsid w:val="00CC240D"/>
    <w:rsid w:val="00CC4BFE"/>
    <w:rsid w:val="00CC6F0F"/>
    <w:rsid w:val="00CC7D45"/>
    <w:rsid w:val="00CD42DF"/>
    <w:rsid w:val="00CD75D1"/>
    <w:rsid w:val="00CF5713"/>
    <w:rsid w:val="00D20A4B"/>
    <w:rsid w:val="00D310A1"/>
    <w:rsid w:val="00D31A01"/>
    <w:rsid w:val="00D330E1"/>
    <w:rsid w:val="00D4200B"/>
    <w:rsid w:val="00D53AB8"/>
    <w:rsid w:val="00D5519B"/>
    <w:rsid w:val="00D60952"/>
    <w:rsid w:val="00D62BF2"/>
    <w:rsid w:val="00D9216D"/>
    <w:rsid w:val="00DA0799"/>
    <w:rsid w:val="00DA5412"/>
    <w:rsid w:val="00DB739A"/>
    <w:rsid w:val="00DC1469"/>
    <w:rsid w:val="00DC74EA"/>
    <w:rsid w:val="00DD3A5E"/>
    <w:rsid w:val="00DD63D6"/>
    <w:rsid w:val="00DE479B"/>
    <w:rsid w:val="00DF69B9"/>
    <w:rsid w:val="00E0138B"/>
    <w:rsid w:val="00E03A24"/>
    <w:rsid w:val="00E05B50"/>
    <w:rsid w:val="00E07F07"/>
    <w:rsid w:val="00E11A01"/>
    <w:rsid w:val="00E24C33"/>
    <w:rsid w:val="00E31121"/>
    <w:rsid w:val="00E37760"/>
    <w:rsid w:val="00E41BE2"/>
    <w:rsid w:val="00E45787"/>
    <w:rsid w:val="00E57809"/>
    <w:rsid w:val="00E6100E"/>
    <w:rsid w:val="00E72E11"/>
    <w:rsid w:val="00E74D85"/>
    <w:rsid w:val="00EB219D"/>
    <w:rsid w:val="00EB6B8A"/>
    <w:rsid w:val="00EC2ACA"/>
    <w:rsid w:val="00EC2DFB"/>
    <w:rsid w:val="00EC390D"/>
    <w:rsid w:val="00EC3BBF"/>
    <w:rsid w:val="00EC6AE2"/>
    <w:rsid w:val="00EC712A"/>
    <w:rsid w:val="00ED7B20"/>
    <w:rsid w:val="00EE67A7"/>
    <w:rsid w:val="00F038ED"/>
    <w:rsid w:val="00F062B1"/>
    <w:rsid w:val="00F20611"/>
    <w:rsid w:val="00F23AAC"/>
    <w:rsid w:val="00F31032"/>
    <w:rsid w:val="00F34129"/>
    <w:rsid w:val="00F3582F"/>
    <w:rsid w:val="00F367EB"/>
    <w:rsid w:val="00F416DC"/>
    <w:rsid w:val="00F57BE8"/>
    <w:rsid w:val="00F62C3B"/>
    <w:rsid w:val="00F66E7F"/>
    <w:rsid w:val="00F73DD9"/>
    <w:rsid w:val="00F860CC"/>
    <w:rsid w:val="00F87F09"/>
    <w:rsid w:val="00F94C58"/>
    <w:rsid w:val="00FC193A"/>
    <w:rsid w:val="00FC563B"/>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jc w:val="both"/>
    </w:pPr>
    <w:rPr>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p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ind w:firstLine="567"/>
      <w:jc w:val="both"/>
    </w:pPr>
    <w:rPr>
      <w:rFonts w:eastAsia="Calibri"/>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
    <w:basedOn w:val="Normal"/>
    <w:uiPriority w:val="34"/>
    <w:qFormat/>
    <w:rsid w:val="00292E4D"/>
    <w:pPr>
      <w:ind w:left="720"/>
      <w:contextualSpacing/>
    </w:pPr>
    <w:rPr>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 w:type="paragraph" w:styleId="BodyText">
    <w:name w:val="Body Text"/>
    <w:basedOn w:val="Normal"/>
    <w:link w:val="BodyTextChar"/>
    <w:uiPriority w:val="99"/>
    <w:semiHidden/>
    <w:unhideWhenUsed/>
    <w:rsid w:val="001F14A3"/>
    <w:pPr>
      <w:spacing w:after="120" w:line="25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1F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486750494">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668753031">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87707836">
      <w:bodyDiv w:val="1"/>
      <w:marLeft w:val="0"/>
      <w:marRight w:val="0"/>
      <w:marTop w:val="0"/>
      <w:marBottom w:val="0"/>
      <w:divBdr>
        <w:top w:val="none" w:sz="0" w:space="0" w:color="auto"/>
        <w:left w:val="none" w:sz="0" w:space="0" w:color="auto"/>
        <w:bottom w:val="none" w:sz="0" w:space="0" w:color="auto"/>
        <w:right w:val="none" w:sz="0" w:space="0" w:color="auto"/>
      </w:divBdr>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06519523">
      <w:bodyDiv w:val="1"/>
      <w:marLeft w:val="0"/>
      <w:marRight w:val="0"/>
      <w:marTop w:val="0"/>
      <w:marBottom w:val="0"/>
      <w:divBdr>
        <w:top w:val="none" w:sz="0" w:space="0" w:color="auto"/>
        <w:left w:val="none" w:sz="0" w:space="0" w:color="auto"/>
        <w:bottom w:val="none" w:sz="0" w:space="0" w:color="auto"/>
        <w:right w:val="none" w:sz="0" w:space="0" w:color="auto"/>
      </w:divBdr>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207795266">
      <w:bodyDiv w:val="1"/>
      <w:marLeft w:val="0"/>
      <w:marRight w:val="0"/>
      <w:marTop w:val="0"/>
      <w:marBottom w:val="0"/>
      <w:divBdr>
        <w:top w:val="none" w:sz="0" w:space="0" w:color="auto"/>
        <w:left w:val="none" w:sz="0" w:space="0" w:color="auto"/>
        <w:bottom w:val="none" w:sz="0" w:space="0" w:color="auto"/>
        <w:right w:val="none" w:sz="0" w:space="0" w:color="auto"/>
      </w:divBdr>
    </w:div>
    <w:div w:id="1269970659">
      <w:bodyDiv w:val="1"/>
      <w:marLeft w:val="0"/>
      <w:marRight w:val="0"/>
      <w:marTop w:val="0"/>
      <w:marBottom w:val="0"/>
      <w:divBdr>
        <w:top w:val="none" w:sz="0" w:space="0" w:color="auto"/>
        <w:left w:val="none" w:sz="0" w:space="0" w:color="auto"/>
        <w:bottom w:val="none" w:sz="0" w:space="0" w:color="auto"/>
        <w:right w:val="none" w:sz="0" w:space="0" w:color="auto"/>
      </w:divBdr>
    </w:div>
    <w:div w:id="1340693060">
      <w:bodyDiv w:val="1"/>
      <w:marLeft w:val="0"/>
      <w:marRight w:val="0"/>
      <w:marTop w:val="0"/>
      <w:marBottom w:val="0"/>
      <w:divBdr>
        <w:top w:val="none" w:sz="0" w:space="0" w:color="auto"/>
        <w:left w:val="none" w:sz="0" w:space="0" w:color="auto"/>
        <w:bottom w:val="none" w:sz="0" w:space="0" w:color="auto"/>
        <w:right w:val="none" w:sz="0" w:space="0" w:color="auto"/>
      </w:divBdr>
    </w:div>
    <w:div w:id="1448356045">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 w:id="1874070954">
      <w:bodyDiv w:val="1"/>
      <w:marLeft w:val="0"/>
      <w:marRight w:val="0"/>
      <w:marTop w:val="0"/>
      <w:marBottom w:val="0"/>
      <w:divBdr>
        <w:top w:val="none" w:sz="0" w:space="0" w:color="auto"/>
        <w:left w:val="none" w:sz="0" w:space="0" w:color="auto"/>
        <w:bottom w:val="none" w:sz="0" w:space="0" w:color="auto"/>
        <w:right w:val="none" w:sz="0" w:space="0" w:color="auto"/>
      </w:divBdr>
    </w:div>
    <w:div w:id="192276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Uông Bí 19</cp:lastModifiedBy>
  <cp:revision>2</cp:revision>
  <dcterms:created xsi:type="dcterms:W3CDTF">2023-01-05T01:42:00Z</dcterms:created>
  <dcterms:modified xsi:type="dcterms:W3CDTF">2023-01-05T01:42:00Z</dcterms:modified>
</cp:coreProperties>
</file>