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04835" w14:textId="77777777" w:rsidR="001E5B0B" w:rsidRPr="001E5B0B" w:rsidRDefault="001E5B0B" w:rsidP="001E5B0B">
      <w:pPr>
        <w:spacing w:after="0" w:line="240" w:lineRule="auto"/>
        <w:jc w:val="center"/>
        <w:rPr>
          <w:rFonts w:ascii="Times New Roman" w:eastAsia="Times New Roman" w:hAnsi="Times New Roman" w:cs="Times New Roman"/>
          <w:sz w:val="28"/>
          <w:szCs w:val="28"/>
        </w:rPr>
      </w:pPr>
    </w:p>
    <w:p w14:paraId="141B85D7" w14:textId="77777777" w:rsidR="007C79CD" w:rsidRPr="007C79CD" w:rsidRDefault="007C79CD" w:rsidP="007C79CD">
      <w:pPr>
        <w:spacing w:after="0" w:line="240" w:lineRule="auto"/>
        <w:ind w:firstLine="720"/>
        <w:jc w:val="center"/>
        <w:rPr>
          <w:rFonts w:ascii="Times New Roman" w:eastAsia="Aptos" w:hAnsi="Times New Roman" w:cs="Times New Roman"/>
          <w:b/>
          <w:bCs/>
          <w:spacing w:val="-2"/>
          <w:kern w:val="2"/>
          <w:sz w:val="32"/>
          <w:szCs w:val="32"/>
          <w14:ligatures w14:val="standardContextual"/>
        </w:rPr>
      </w:pPr>
      <w:r w:rsidRPr="007C79CD">
        <w:rPr>
          <w:rFonts w:ascii="Times New Roman" w:eastAsia="Aptos" w:hAnsi="Times New Roman" w:cs="Times New Roman"/>
          <w:b/>
          <w:bCs/>
          <w:spacing w:val="-2"/>
          <w:kern w:val="2"/>
          <w:sz w:val="32"/>
          <w:szCs w:val="32"/>
          <w14:ligatures w14:val="standardContextual"/>
        </w:rPr>
        <w:t>TÀI LIỆU SINH HOẠT CHUYÊN ĐỀ</w:t>
      </w:r>
    </w:p>
    <w:p w14:paraId="7EEA3263" w14:textId="77777777" w:rsidR="007C79CD" w:rsidRPr="007C79CD" w:rsidRDefault="007C79CD" w:rsidP="007C79CD">
      <w:pPr>
        <w:spacing w:after="0" w:line="240" w:lineRule="auto"/>
        <w:ind w:firstLine="720"/>
        <w:jc w:val="center"/>
        <w:rPr>
          <w:rFonts w:ascii="Times New Roman" w:eastAsia="Aptos" w:hAnsi="Times New Roman" w:cs="Times New Roman"/>
          <w:b/>
          <w:bCs/>
          <w:spacing w:val="-2"/>
          <w:kern w:val="2"/>
          <w:sz w:val="28"/>
          <w:szCs w:val="28"/>
          <w14:ligatures w14:val="standardContextual"/>
        </w:rPr>
      </w:pPr>
      <w:r w:rsidRPr="007C79CD">
        <w:rPr>
          <w:rFonts w:ascii="Times New Roman" w:eastAsia="Aptos" w:hAnsi="Times New Roman" w:cs="Times New Roman"/>
          <w:b/>
          <w:bCs/>
          <w:spacing w:val="-2"/>
          <w:kern w:val="2"/>
          <w:sz w:val="28"/>
          <w:szCs w:val="28"/>
          <w14:ligatures w14:val="standardContextual"/>
        </w:rPr>
        <w:t>*</w:t>
      </w:r>
    </w:p>
    <w:p w14:paraId="799C0363" w14:textId="77777777" w:rsidR="007C79CD" w:rsidRPr="007C79CD" w:rsidRDefault="007C79CD" w:rsidP="007C79CD">
      <w:pPr>
        <w:spacing w:after="0" w:line="240" w:lineRule="auto"/>
        <w:ind w:firstLine="720"/>
        <w:jc w:val="center"/>
        <w:rPr>
          <w:rFonts w:ascii="Times New Roman" w:eastAsia="Aptos" w:hAnsi="Times New Roman" w:cs="Times New Roman"/>
          <w:b/>
          <w:bCs/>
          <w:spacing w:val="-2"/>
          <w:kern w:val="2"/>
          <w:sz w:val="28"/>
          <w:szCs w:val="28"/>
          <w14:ligatures w14:val="standardContextual"/>
        </w:rPr>
      </w:pPr>
      <w:r w:rsidRPr="007C79CD">
        <w:rPr>
          <w:rFonts w:ascii="Times New Roman" w:eastAsia="Aptos" w:hAnsi="Times New Roman" w:cs="Times New Roman"/>
          <w:b/>
          <w:bCs/>
          <w:spacing w:val="-2"/>
          <w:kern w:val="2"/>
          <w:sz w:val="28"/>
          <w:szCs w:val="28"/>
          <w14:ligatures w14:val="standardContextual"/>
        </w:rPr>
        <w:t>CHUYÊN ĐỀ</w:t>
      </w:r>
    </w:p>
    <w:p w14:paraId="713ADDE1" w14:textId="77777777" w:rsidR="007C79CD" w:rsidRPr="007C79CD" w:rsidRDefault="007C79CD" w:rsidP="007C79CD">
      <w:pPr>
        <w:spacing w:after="0" w:line="240" w:lineRule="auto"/>
        <w:ind w:firstLine="720"/>
        <w:jc w:val="center"/>
        <w:rPr>
          <w:rFonts w:ascii="Times New Roman" w:eastAsia="Aptos" w:hAnsi="Times New Roman" w:cs="Times New Roman"/>
          <w:b/>
          <w:bCs/>
          <w:spacing w:val="-2"/>
          <w:kern w:val="2"/>
          <w:sz w:val="28"/>
          <w:szCs w:val="28"/>
          <w14:ligatures w14:val="standardContextual"/>
        </w:rPr>
      </w:pPr>
      <w:r w:rsidRPr="007C79CD">
        <w:rPr>
          <w:rFonts w:ascii="Times New Roman" w:eastAsia="Aptos" w:hAnsi="Times New Roman" w:cs="Times New Roman"/>
          <w:b/>
          <w:bCs/>
          <w:spacing w:val="-2"/>
          <w:kern w:val="2"/>
          <w:sz w:val="28"/>
          <w:szCs w:val="28"/>
          <w14:ligatures w14:val="standardContextual"/>
        </w:rPr>
        <w:t xml:space="preserve">Đẩy mạnh công tác phòng, chống tham nhũng, lãng phí, tiêu </w:t>
      </w:r>
      <w:proofErr w:type="gramStart"/>
      <w:r w:rsidRPr="007C79CD">
        <w:rPr>
          <w:rFonts w:ascii="Times New Roman" w:eastAsia="Aptos" w:hAnsi="Times New Roman" w:cs="Times New Roman"/>
          <w:b/>
          <w:bCs/>
          <w:spacing w:val="-2"/>
          <w:kern w:val="2"/>
          <w:sz w:val="28"/>
          <w:szCs w:val="28"/>
          <w14:ligatures w14:val="standardContextual"/>
        </w:rPr>
        <w:t>cực;</w:t>
      </w:r>
      <w:proofErr w:type="gramEnd"/>
    </w:p>
    <w:p w14:paraId="7A5EF6BF" w14:textId="77777777" w:rsidR="007C79CD" w:rsidRPr="007C79CD" w:rsidRDefault="007C79CD" w:rsidP="007C79CD">
      <w:pPr>
        <w:spacing w:after="0" w:line="240" w:lineRule="auto"/>
        <w:ind w:firstLine="720"/>
        <w:jc w:val="center"/>
        <w:rPr>
          <w:rFonts w:ascii="Times New Roman" w:eastAsia="Aptos" w:hAnsi="Times New Roman" w:cs="Times New Roman"/>
          <w:b/>
          <w:bCs/>
          <w:spacing w:val="-2"/>
          <w:kern w:val="2"/>
          <w:sz w:val="28"/>
          <w:szCs w:val="28"/>
          <w14:ligatures w14:val="standardContextual"/>
        </w:rPr>
      </w:pPr>
      <w:r w:rsidRPr="007C79CD">
        <w:rPr>
          <w:rFonts w:ascii="Times New Roman" w:eastAsia="Aptos" w:hAnsi="Times New Roman" w:cs="Times New Roman"/>
          <w:b/>
          <w:bCs/>
          <w:spacing w:val="-2"/>
          <w:kern w:val="2"/>
          <w:sz w:val="28"/>
          <w:szCs w:val="28"/>
          <w14:ligatures w14:val="standardContextual"/>
        </w:rPr>
        <w:t>triệt để tiết kiệm chi phí</w:t>
      </w:r>
    </w:p>
    <w:p w14:paraId="650DB006" w14:textId="282D00E3" w:rsidR="007C79CD" w:rsidRPr="007C79CD" w:rsidRDefault="007C79CD" w:rsidP="007C79CD">
      <w:pPr>
        <w:spacing w:after="0" w:line="240" w:lineRule="auto"/>
        <w:ind w:firstLine="720"/>
        <w:jc w:val="center"/>
        <w:rPr>
          <w:rFonts w:ascii="Times New Roman" w:eastAsia="Aptos" w:hAnsi="Times New Roman" w:cs="Times New Roman"/>
          <w:b/>
          <w:bCs/>
          <w:spacing w:val="-2"/>
          <w:kern w:val="2"/>
          <w:sz w:val="28"/>
          <w:szCs w:val="28"/>
          <w14:ligatures w14:val="standardContextual"/>
        </w:rPr>
      </w:pPr>
      <w:r w:rsidRPr="007C79CD">
        <w:rPr>
          <w:rFonts w:ascii="Times New Roman" w:eastAsia="Aptos" w:hAnsi="Times New Roman" w:cs="Times New Roman"/>
          <w:b/>
          <w:bCs/>
          <w:spacing w:val="-2"/>
          <w:kern w:val="2"/>
          <w:sz w:val="28"/>
          <w:szCs w:val="28"/>
          <w14:ligatures w14:val="standardContextual"/>
        </w:rPr>
        <w:t>-----</w:t>
      </w:r>
    </w:p>
    <w:p w14:paraId="74A9514E" w14:textId="0C138CD0" w:rsidR="00CD3F1E" w:rsidRPr="0059286F" w:rsidRDefault="00CD3F1E" w:rsidP="0059286F">
      <w:pPr>
        <w:spacing w:before="120" w:after="0" w:line="252" w:lineRule="auto"/>
        <w:ind w:firstLine="720"/>
        <w:jc w:val="both"/>
        <w:rPr>
          <w:rFonts w:ascii="Times New Roman" w:eastAsia="Aptos" w:hAnsi="Times New Roman" w:cs="Times New Roman"/>
          <w:spacing w:val="-2"/>
          <w:kern w:val="2"/>
          <w:sz w:val="28"/>
          <w:szCs w:val="28"/>
          <w14:ligatures w14:val="standardContextual"/>
        </w:rPr>
      </w:pPr>
      <w:r w:rsidRPr="0059286F">
        <w:rPr>
          <w:rFonts w:ascii="Times New Roman" w:eastAsia="Aptos" w:hAnsi="Times New Roman" w:cs="Times New Roman"/>
          <w:spacing w:val="-2"/>
          <w:kern w:val="2"/>
          <w:sz w:val="28"/>
          <w:szCs w:val="28"/>
          <w14:ligatures w14:val="standardContextual"/>
        </w:rPr>
        <w:t>Công tác phòng, chống tham nhũng, lãng phí, tiêu cực (PCTN, LP, TC) luôn được Đảng ủy, Hội đồng thành viên Tập đoàn Điện lực Việt Nam (</w:t>
      </w:r>
      <w:r w:rsidR="00CC7299" w:rsidRPr="0059286F">
        <w:rPr>
          <w:rFonts w:ascii="Times New Roman" w:eastAsia="Aptos" w:hAnsi="Times New Roman" w:cs="Times New Roman"/>
          <w:spacing w:val="-2"/>
          <w:kern w:val="2"/>
          <w:sz w:val="28"/>
          <w:szCs w:val="28"/>
          <w14:ligatures w14:val="standardContextual"/>
        </w:rPr>
        <w:t xml:space="preserve">HĐTV </w:t>
      </w:r>
      <w:r w:rsidRPr="0059286F">
        <w:rPr>
          <w:rFonts w:ascii="Times New Roman" w:eastAsia="Aptos" w:hAnsi="Times New Roman" w:cs="Times New Roman"/>
          <w:spacing w:val="-2"/>
          <w:kern w:val="2"/>
          <w:sz w:val="28"/>
          <w:szCs w:val="28"/>
          <w14:ligatures w14:val="standardContextual"/>
        </w:rPr>
        <w:t xml:space="preserve">EVN) quan tâm, chỉ đạo sát sao. Nội dung này được thể hiện rõ trong việc xây dựng và triển khai các chương trình PCTN, LP, TC năm 2025 và giai đoạn 2026–2030. Trên cơ sở yêu cầu nhiệm vụ quản lý của các cấp có thẩm quyền và tình hình thực tiễn của EVN, công tác PCTN, LP, TC tập trung vào việc kịp thời phát hiện những sơ hở, bất cập trong cơ chế, quy chế quản lý; tăng cường phòng ngừa, phát hiện và xử lý nghiêm đối với tổ chức, cá nhân vi phạm pháp luật, quy định của Nhà nước, quy chế, quy định quản lý nội bộ của EVN và các đơn vị; đồng thời phát huy các nhân tố tích cực, góp phần nâng cao kỷ cương, kỷ luật trong quản lý, điều hành. Trọng tâm công tác được chuyển mạnh từ kiểm tra, thanh tra để xử lý sang </w:t>
      </w:r>
      <w:r w:rsidRPr="0059286F">
        <w:rPr>
          <w:rFonts w:ascii="Times New Roman" w:eastAsia="Aptos" w:hAnsi="Times New Roman" w:cs="Times New Roman"/>
          <w:i/>
          <w:iCs/>
          <w:spacing w:val="-2"/>
          <w:kern w:val="2"/>
          <w:sz w:val="28"/>
          <w:szCs w:val="28"/>
          <w:lang w:val="vi-VN"/>
          <w14:ligatures w14:val="standardContextual"/>
        </w:rPr>
        <w:t>“</w:t>
      </w:r>
      <w:r w:rsidRPr="0059286F">
        <w:rPr>
          <w:rFonts w:ascii="Times New Roman" w:eastAsia="Aptos" w:hAnsi="Times New Roman" w:cs="Times New Roman"/>
          <w:i/>
          <w:iCs/>
          <w:spacing w:val="-2"/>
          <w:kern w:val="2"/>
          <w:sz w:val="28"/>
          <w:szCs w:val="28"/>
          <w14:ligatures w14:val="standardContextual"/>
        </w:rPr>
        <w:t>giám sát thường xuyên nhằm phòng ngừa từ sớm, từ xa, từ cơ sở</w:t>
      </w:r>
      <w:r w:rsidRPr="0059286F">
        <w:rPr>
          <w:rFonts w:ascii="Times New Roman" w:eastAsia="Aptos" w:hAnsi="Times New Roman" w:cs="Times New Roman"/>
          <w:i/>
          <w:iCs/>
          <w:spacing w:val="-2"/>
          <w:kern w:val="2"/>
          <w:sz w:val="28"/>
          <w:szCs w:val="28"/>
          <w:lang w:val="vi-VN"/>
          <w14:ligatures w14:val="standardContextual"/>
        </w:rPr>
        <w:t>”</w:t>
      </w:r>
      <w:r w:rsidRPr="0059286F">
        <w:rPr>
          <w:rFonts w:ascii="Times New Roman" w:eastAsia="Aptos" w:hAnsi="Times New Roman" w:cs="Times New Roman"/>
          <w:spacing w:val="-2"/>
          <w:kern w:val="2"/>
          <w:sz w:val="28"/>
          <w:szCs w:val="28"/>
          <w14:ligatures w14:val="standardContextual"/>
        </w:rPr>
        <w:t>, qua đó nâng cao hiệu lực, hiệu quả quản lý của EVN.</w:t>
      </w:r>
    </w:p>
    <w:p w14:paraId="1EA113A6" w14:textId="77777777" w:rsidR="00CD3F1E" w:rsidRPr="0059286F" w:rsidRDefault="00CD3F1E" w:rsidP="0059286F">
      <w:pPr>
        <w:spacing w:before="120" w:after="0" w:line="252" w:lineRule="auto"/>
        <w:ind w:firstLine="720"/>
        <w:jc w:val="both"/>
        <w:rPr>
          <w:rFonts w:ascii="Times New Roman" w:eastAsia="Aptos" w:hAnsi="Times New Roman" w:cs="Times New Roman"/>
          <w:kern w:val="2"/>
          <w:sz w:val="28"/>
          <w:szCs w:val="28"/>
          <w14:ligatures w14:val="standardContextual"/>
        </w:rPr>
      </w:pPr>
      <w:r w:rsidRPr="0059286F">
        <w:rPr>
          <w:rFonts w:ascii="Times New Roman" w:eastAsia="Aptos" w:hAnsi="Times New Roman" w:cs="Times New Roman"/>
          <w:kern w:val="2"/>
          <w:sz w:val="28"/>
          <w:szCs w:val="28"/>
          <w14:ligatures w14:val="standardContextual"/>
        </w:rPr>
        <w:t>Bên cạnh đó, việc thực hành tiết kiệm, triệt để cắt giảm chi phí trong các lĩnh vực hoạt động sản xuất, kinh doanh của EVN được triển khai đồng bộ, thống nhất từ Tập đoàn đến các đơn vị thành viên. Các mục tiêu, chỉ tiêu và giải pháp tiết kiệm được quy định cụ thể trong Chương trình tổng thể thực hành tiết kiệm, chống lãng phí giai đoạn 2021–2025 của EVN và được cụ thể hóa trong các chương trình, kế hoạch triển khai hằng năm.</w:t>
      </w:r>
    </w:p>
    <w:p w14:paraId="69C92727" w14:textId="0824D9BB" w:rsidR="006F1D4C" w:rsidRPr="0059286F" w:rsidRDefault="006F1D4C" w:rsidP="0059286F">
      <w:pPr>
        <w:spacing w:before="120" w:after="0" w:line="252" w:lineRule="auto"/>
        <w:ind w:firstLine="720"/>
        <w:jc w:val="both"/>
        <w:rPr>
          <w:rFonts w:ascii="Times New Roman" w:eastAsia="Aptos" w:hAnsi="Times New Roman" w:cs="Times New Roman"/>
          <w:b/>
          <w:bCs/>
          <w:kern w:val="2"/>
          <w:sz w:val="28"/>
          <w:szCs w:val="28"/>
          <w14:ligatures w14:val="standardContextual"/>
        </w:rPr>
      </w:pPr>
      <w:r w:rsidRPr="0059286F">
        <w:rPr>
          <w:rFonts w:ascii="Times New Roman" w:eastAsia="Aptos" w:hAnsi="Times New Roman" w:cs="Times New Roman"/>
          <w:b/>
          <w:bCs/>
          <w:kern w:val="2"/>
          <w:sz w:val="28"/>
          <w:szCs w:val="28"/>
          <w14:ligatures w14:val="standardContextual"/>
        </w:rPr>
        <w:t>I. K</w:t>
      </w:r>
      <w:r w:rsidR="009352DE" w:rsidRPr="0059286F">
        <w:rPr>
          <w:rFonts w:ascii="Times New Roman" w:eastAsia="Aptos" w:hAnsi="Times New Roman" w:cs="Times New Roman"/>
          <w:b/>
          <w:bCs/>
          <w:kern w:val="2"/>
          <w:sz w:val="28"/>
          <w:szCs w:val="28"/>
          <w14:ligatures w14:val="standardContextual"/>
        </w:rPr>
        <w:t xml:space="preserve">ẾT QUẢ THỰC HIỆN CÔNG TÁC </w:t>
      </w:r>
      <w:r w:rsidRPr="0059286F">
        <w:rPr>
          <w:rFonts w:ascii="Times New Roman" w:eastAsia="Aptos" w:hAnsi="Times New Roman" w:cs="Times New Roman"/>
          <w:b/>
          <w:bCs/>
          <w:kern w:val="2"/>
          <w:sz w:val="28"/>
          <w:szCs w:val="28"/>
          <w14:ligatures w14:val="standardContextual"/>
        </w:rPr>
        <w:t>PCTN, LP, TC</w:t>
      </w:r>
    </w:p>
    <w:p w14:paraId="64EFFC1A" w14:textId="26E73589" w:rsidR="006F1D4C" w:rsidRPr="0059286F" w:rsidRDefault="006F1D4C" w:rsidP="0059286F">
      <w:pPr>
        <w:spacing w:before="120" w:after="0" w:line="252" w:lineRule="auto"/>
        <w:ind w:firstLine="720"/>
        <w:jc w:val="both"/>
        <w:rPr>
          <w:rFonts w:ascii="Times New Roman" w:eastAsia="Aptos" w:hAnsi="Times New Roman" w:cs="Times New Roman"/>
          <w:b/>
          <w:bCs/>
          <w:kern w:val="2"/>
          <w:sz w:val="28"/>
          <w:szCs w:val="28"/>
          <w14:ligatures w14:val="standardContextual"/>
        </w:rPr>
      </w:pPr>
      <w:r w:rsidRPr="0059286F">
        <w:rPr>
          <w:rFonts w:ascii="Times New Roman" w:eastAsia="Aptos" w:hAnsi="Times New Roman" w:cs="Times New Roman"/>
          <w:b/>
          <w:bCs/>
          <w:kern w:val="2"/>
          <w:sz w:val="28"/>
          <w:szCs w:val="28"/>
          <w14:ligatures w14:val="standardContextual"/>
        </w:rPr>
        <w:t>1. Việc kiện toàn Ban chỉ đạo PCTN, LP, TC</w:t>
      </w:r>
    </w:p>
    <w:p w14:paraId="65A751BA" w14:textId="6980AB84" w:rsidR="006F1D4C" w:rsidRPr="0059286F" w:rsidRDefault="006F1D4C" w:rsidP="0059286F">
      <w:pPr>
        <w:spacing w:before="120" w:after="0" w:line="252" w:lineRule="auto"/>
        <w:ind w:firstLine="720"/>
        <w:jc w:val="both"/>
        <w:rPr>
          <w:rFonts w:ascii="Times New Roman" w:eastAsia="Aptos" w:hAnsi="Times New Roman" w:cs="Times New Roman"/>
          <w:kern w:val="2"/>
          <w:sz w:val="28"/>
          <w:szCs w:val="28"/>
          <w14:ligatures w14:val="standardContextual"/>
        </w:rPr>
      </w:pPr>
      <w:r w:rsidRPr="0059286F">
        <w:rPr>
          <w:rFonts w:ascii="Times New Roman" w:eastAsia="Aptos" w:hAnsi="Times New Roman" w:cs="Times New Roman"/>
          <w:kern w:val="2"/>
          <w:sz w:val="28"/>
          <w:szCs w:val="28"/>
          <w:lang w:val="da-DK"/>
          <w14:ligatures w14:val="standardContextual"/>
        </w:rPr>
        <w:t xml:space="preserve">Đảng ủy EVN đã </w:t>
      </w:r>
      <w:r w:rsidR="00C03453" w:rsidRPr="0059286F">
        <w:rPr>
          <w:rFonts w:ascii="Times New Roman" w:eastAsia="Aptos" w:hAnsi="Times New Roman" w:cs="Times New Roman"/>
          <w:kern w:val="2"/>
          <w:sz w:val="28"/>
          <w:szCs w:val="28"/>
          <w:lang w:val="da-DK"/>
          <w14:ligatures w14:val="standardContextual"/>
        </w:rPr>
        <w:t>ban</w:t>
      </w:r>
      <w:r w:rsidRPr="0059286F">
        <w:rPr>
          <w:rFonts w:ascii="Times New Roman" w:eastAsia="Aptos" w:hAnsi="Times New Roman" w:cs="Times New Roman"/>
          <w:kern w:val="2"/>
          <w:sz w:val="28"/>
          <w:szCs w:val="28"/>
          <w:lang w:val="da-DK"/>
          <w14:ligatures w14:val="standardContextual"/>
        </w:rPr>
        <w:t xml:space="preserve"> hành </w:t>
      </w:r>
      <w:r w:rsidRPr="0059286F">
        <w:rPr>
          <w:rFonts w:ascii="Times New Roman" w:eastAsia="Aptos" w:hAnsi="Times New Roman" w:cs="Times New Roman"/>
          <w:kern w:val="2"/>
          <w:sz w:val="28"/>
          <w:szCs w:val="28"/>
          <w14:ligatures w14:val="standardContextual"/>
        </w:rPr>
        <w:t xml:space="preserve">Quyết định số 797-QĐ/ĐU ngày 30/12/2024 về việc </w:t>
      </w:r>
      <w:r w:rsidRPr="0059286F">
        <w:rPr>
          <w:rFonts w:ascii="Times New Roman" w:eastAsia="Aptos" w:hAnsi="Times New Roman" w:cs="Times New Roman"/>
          <w:kern w:val="2"/>
          <w:sz w:val="28"/>
          <w:szCs w:val="28"/>
          <w:lang w:val="da-DK"/>
          <w14:ligatures w14:val="standardContextual"/>
        </w:rPr>
        <w:t xml:space="preserve">thành lập Ban Chỉ đạo PCTN, LP, TC Đảng ủy EVN; Ban hành </w:t>
      </w:r>
      <w:r w:rsidRPr="0059286F">
        <w:rPr>
          <w:rFonts w:ascii="Times New Roman" w:eastAsia="Aptos" w:hAnsi="Times New Roman" w:cs="Times New Roman"/>
          <w:kern w:val="2"/>
          <w:sz w:val="28"/>
          <w:szCs w:val="28"/>
          <w14:ligatures w14:val="standardContextual"/>
        </w:rPr>
        <w:t xml:space="preserve">Quy chế số 15-QC/BCĐ ngày 10/01/2025 </w:t>
      </w:r>
      <w:r w:rsidRPr="0059286F">
        <w:rPr>
          <w:rFonts w:ascii="Times New Roman" w:eastAsia="Aptos" w:hAnsi="Times New Roman" w:cs="Times New Roman"/>
          <w:kern w:val="2"/>
          <w:sz w:val="28"/>
          <w:szCs w:val="28"/>
          <w:lang w:val="da-DK"/>
          <w14:ligatures w14:val="standardContextual"/>
        </w:rPr>
        <w:t>Quy chế làm việc của Ban Chỉ đạo</w:t>
      </w:r>
      <w:r w:rsidRPr="0059286F">
        <w:rPr>
          <w:rFonts w:ascii="Times New Roman" w:eastAsia="Aptos" w:hAnsi="Times New Roman" w:cs="Times New Roman"/>
          <w:kern w:val="2"/>
          <w:sz w:val="28"/>
          <w:szCs w:val="28"/>
          <w14:ligatures w14:val="standardContextual"/>
        </w:rPr>
        <w:t xml:space="preserve"> trong đó có quy định nhiệm vụ, trách nhiệm, quyền hạn của từng thành viên cũng như chế độ làm việc và quan hệ công tác của Ban Chỉ đạo. Ban Chỉ đạo Đảng ủy cũng đã chỉ đạo các cấp ủy trực thuộc thành lập Ban Chỉ đạo, ban hành Quy chế làm việc.</w:t>
      </w:r>
    </w:p>
    <w:p w14:paraId="450A79F7" w14:textId="2382410F" w:rsidR="00F11932" w:rsidRPr="0059286F" w:rsidRDefault="00F11932" w:rsidP="0059286F">
      <w:pPr>
        <w:spacing w:before="120" w:after="0" w:line="252" w:lineRule="auto"/>
        <w:ind w:firstLine="720"/>
        <w:jc w:val="both"/>
        <w:rPr>
          <w:rFonts w:ascii="Times New Roman" w:eastAsia="Aptos" w:hAnsi="Times New Roman" w:cs="Times New Roman"/>
          <w:spacing w:val="-2"/>
          <w:kern w:val="2"/>
          <w:sz w:val="28"/>
          <w:szCs w:val="28"/>
          <w:lang w:val="vi-VN"/>
          <w14:ligatures w14:val="standardContextual"/>
        </w:rPr>
      </w:pPr>
      <w:r w:rsidRPr="0059286F">
        <w:rPr>
          <w:rFonts w:ascii="Times New Roman" w:eastAsia="Aptos" w:hAnsi="Times New Roman" w:cs="Times New Roman"/>
          <w:spacing w:val="-2"/>
          <w:kern w:val="2"/>
          <w:sz w:val="28"/>
          <w:szCs w:val="28"/>
          <w14:ligatures w14:val="standardContextual"/>
        </w:rPr>
        <w:t xml:space="preserve">Trong năm 2025, Ban Chỉ đạo đã quán triệt đầy đủ các nhiệm vụ trọng tâm và trách nhiệm của cấp ủy, đơn vị trong công tác phòng, chống tham nhũng, lãng phí, tiêu cực (PCTN, LP, TC); đồng thời chỉ đạo các cấp ủy trực thuộc kiện toàn tổ chức, thành lập Ban Chỉ đạo, ban hành Quy chế làm việc và Chương trình công tác PCTN, LP, TC năm 2025 để tổ chức triển khai thực hiện thống nhất, hiệu quả. Trên cơ sở đó, Ban Chỉ đạo xác định 10 nhóm nhiệm vụ trọng tâm cần tập trung thực hiện, gồm: (i) Kiện toàn tổ chức, nâng cao vai trò chỉ đạo PCTN, LP, TC; (ii) Hoàn thiện quy chế, kiểm soát quyền lực; (iii) Đẩy mạnh tuyên truyền, giáo dục liêm chính; (iv) Đề cao </w:t>
      </w:r>
      <w:r w:rsidRPr="0059286F">
        <w:rPr>
          <w:rFonts w:ascii="Times New Roman" w:eastAsia="Aptos" w:hAnsi="Times New Roman" w:cs="Times New Roman"/>
          <w:spacing w:val="-2"/>
          <w:kern w:val="2"/>
          <w:sz w:val="28"/>
          <w:szCs w:val="28"/>
          <w14:ligatures w14:val="standardContextual"/>
        </w:rPr>
        <w:lastRenderedPageBreak/>
        <w:t>vai trò người đứng đầu, phòng ngừa vi phạm; (v) Hoàn thiện thể chế, cải cách hành chính; (vi) Tăng cường kiểm tra, giám sát, thanh tra; (vii) Thực hành tiết kiệm, chống lãng phí; (viii) Giải quyết đơn thư, phát huy dân chủ cơ sở; (ix) Xây dựng văn hóa liêm chính, nêu gương; (x) Thực hiện kê khai, kiểm soát tài sản, thu nhập.</w:t>
      </w:r>
    </w:p>
    <w:p w14:paraId="4CE220C9" w14:textId="545DAB97" w:rsidR="006F1D4C" w:rsidRPr="0059286F" w:rsidRDefault="006F1D4C" w:rsidP="0059286F">
      <w:pPr>
        <w:spacing w:before="120" w:after="0" w:line="252" w:lineRule="auto"/>
        <w:ind w:firstLine="720"/>
        <w:jc w:val="both"/>
        <w:rPr>
          <w:rFonts w:ascii="Times New Roman" w:eastAsia="Aptos" w:hAnsi="Times New Roman" w:cs="Times New Roman"/>
          <w:b/>
          <w:color w:val="000000"/>
          <w:kern w:val="2"/>
          <w:sz w:val="28"/>
          <w:szCs w:val="28"/>
          <w:lang w:val="vi-VN"/>
          <w14:ligatures w14:val="standardContextual"/>
        </w:rPr>
      </w:pPr>
      <w:r w:rsidRPr="0059286F">
        <w:rPr>
          <w:rFonts w:ascii="Times New Roman" w:eastAsia="Aptos" w:hAnsi="Times New Roman" w:cs="Times New Roman"/>
          <w:b/>
          <w:bCs/>
          <w:kern w:val="2"/>
          <w:sz w:val="28"/>
          <w:szCs w:val="28"/>
          <w:lang w:val="vi-VN"/>
          <w14:ligatures w14:val="standardContextual"/>
        </w:rPr>
        <w:t>2.</w:t>
      </w:r>
      <w:r w:rsidRPr="0059286F">
        <w:rPr>
          <w:rFonts w:ascii="Times New Roman" w:eastAsia="Aptos" w:hAnsi="Times New Roman" w:cs="Times New Roman"/>
          <w:kern w:val="2"/>
          <w:sz w:val="28"/>
          <w:szCs w:val="28"/>
          <w:lang w:val="vi-VN"/>
          <w14:ligatures w14:val="standardContextual"/>
        </w:rPr>
        <w:t xml:space="preserve"> </w:t>
      </w:r>
      <w:r w:rsidRPr="0059286F">
        <w:rPr>
          <w:rFonts w:ascii="Times New Roman" w:eastAsia="Aptos" w:hAnsi="Times New Roman" w:cs="Times New Roman"/>
          <w:b/>
          <w:color w:val="000000"/>
          <w:kern w:val="2"/>
          <w:sz w:val="28"/>
          <w:szCs w:val="28"/>
          <w:lang w:val="vi-VN"/>
          <w14:ligatures w14:val="standardContextual"/>
        </w:rPr>
        <w:t>Sự lãnh đạo, chỉ đạo của cấp ủy, tổ chức đảng, lãnh đạo đơn vị đối với công tác phòng, chống tham nhũng, lãng phí, tiêu cực (PCTN, LP, TC)</w:t>
      </w:r>
    </w:p>
    <w:p w14:paraId="1A10AD77" w14:textId="1566E54F" w:rsidR="006F1D4C" w:rsidRPr="0059286F" w:rsidRDefault="006F1D4C" w:rsidP="0059286F">
      <w:pPr>
        <w:spacing w:before="120" w:after="0" w:line="252" w:lineRule="auto"/>
        <w:ind w:firstLine="562"/>
        <w:jc w:val="both"/>
        <w:rPr>
          <w:rFonts w:ascii="Times New Roman" w:eastAsia="Aptos" w:hAnsi="Times New Roman" w:cs="Times New Roman"/>
          <w:kern w:val="2"/>
          <w:sz w:val="28"/>
          <w:szCs w:val="28"/>
          <w:lang w:val="vi-VN"/>
          <w14:ligatures w14:val="standardContextual"/>
        </w:rPr>
      </w:pPr>
      <w:r w:rsidRPr="0059286F">
        <w:rPr>
          <w:rFonts w:ascii="Times New Roman" w:eastAsia="Aptos" w:hAnsi="Times New Roman" w:cs="Times New Roman"/>
          <w:kern w:val="2"/>
          <w:sz w:val="28"/>
          <w:szCs w:val="28"/>
          <w:lang w:val="vi-VN"/>
          <w14:ligatures w14:val="standardContextual"/>
        </w:rPr>
        <w:t xml:space="preserve">- Đảng ủy, Ủy ban Kiểm tra Đảng ủy Tập đoàn (UBKT) đã ban hành và tổ chức triển khai thực </w:t>
      </w:r>
      <w:r w:rsidR="00C03453" w:rsidRPr="0059286F">
        <w:rPr>
          <w:rFonts w:ascii="Times New Roman" w:eastAsia="Aptos" w:hAnsi="Times New Roman" w:cs="Times New Roman"/>
          <w:kern w:val="2"/>
          <w:sz w:val="28"/>
          <w:szCs w:val="28"/>
          <w:lang w:val="vi-VN"/>
          <w14:ligatures w14:val="standardContextual"/>
        </w:rPr>
        <w:t xml:space="preserve">hiện </w:t>
      </w:r>
      <w:r w:rsidRPr="0059286F">
        <w:rPr>
          <w:rFonts w:ascii="Times New Roman" w:eastAsia="Aptos" w:hAnsi="Times New Roman" w:cs="Times New Roman"/>
          <w:kern w:val="2"/>
          <w:sz w:val="28"/>
          <w:szCs w:val="28"/>
          <w:lang w:val="vi-VN"/>
          <w14:ligatures w14:val="standardContextual"/>
        </w:rPr>
        <w:t xml:space="preserve">Chương trình kiểm tra, giám sát của Ban Chấp hành Đảng bộ Tập đoàn năm 2025, Chương trình kiểm tra, giám sát của Ủy ban Kiểm tra Đảng ủy Tập đoàn năm 2025 </w:t>
      </w:r>
      <w:r w:rsidRPr="0059286F">
        <w:rPr>
          <w:rFonts w:ascii="Times New Roman" w:eastAsia="Aptos" w:hAnsi="Times New Roman" w:cs="Times New Roman"/>
          <w:kern w:val="2"/>
          <w:sz w:val="28"/>
          <w:szCs w:val="28"/>
          <w:vertAlign w:val="superscript"/>
          <w14:ligatures w14:val="standardContextual"/>
        </w:rPr>
        <w:footnoteReference w:id="1"/>
      </w:r>
      <w:r w:rsidRPr="0059286F">
        <w:rPr>
          <w:rFonts w:ascii="Times New Roman" w:eastAsia="Aptos" w:hAnsi="Times New Roman" w:cs="Times New Roman"/>
          <w:kern w:val="2"/>
          <w:sz w:val="28"/>
          <w:szCs w:val="28"/>
          <w:lang w:val="vi-VN"/>
          <w14:ligatures w14:val="standardContextual"/>
        </w:rPr>
        <w:t>; Nghị quyết về</w:t>
      </w:r>
      <w:r w:rsidRPr="0059286F">
        <w:rPr>
          <w:rFonts w:ascii="Times New Roman" w:eastAsia="Aptos" w:hAnsi="Times New Roman" w:cs="Times New Roman"/>
          <w:b/>
          <w:bCs/>
          <w:color w:val="000000"/>
          <w:kern w:val="2"/>
          <w:sz w:val="28"/>
          <w:szCs w:val="28"/>
          <w:lang w:val="vi-VN"/>
          <w14:ligatures w14:val="standardContextual"/>
        </w:rPr>
        <w:t xml:space="preserve"> </w:t>
      </w:r>
      <w:r w:rsidRPr="0059286F">
        <w:rPr>
          <w:rFonts w:ascii="Times New Roman" w:eastAsia="Aptos" w:hAnsi="Times New Roman" w:cs="Times New Roman"/>
          <w:color w:val="000000"/>
          <w:kern w:val="2"/>
          <w:sz w:val="28"/>
          <w:szCs w:val="28"/>
          <w:lang w:val="vi-VN"/>
          <w14:ligatures w14:val="standardContextual"/>
        </w:rPr>
        <w:t xml:space="preserve">tăng cường lãnh đạo, chỉ đạo, tổ chức thực hiện công tác phòng, chống tham nhũng, lãng phí, tiêu cực trong Đảng bộ Tập đoàn, </w:t>
      </w:r>
      <w:r w:rsidRPr="0059286F">
        <w:rPr>
          <w:rFonts w:ascii="Times New Roman" w:eastAsia="Aptos" w:hAnsi="Times New Roman" w:cs="Times New Roman"/>
          <w:kern w:val="2"/>
          <w:sz w:val="28"/>
          <w:szCs w:val="28"/>
          <w:lang w:val="vi-VN"/>
          <w14:ligatures w14:val="standardContextual"/>
        </w:rPr>
        <w:t>Nghị quyết về</w:t>
      </w:r>
      <w:r w:rsidRPr="0059286F">
        <w:rPr>
          <w:rFonts w:ascii="Times New Roman" w:eastAsia="Aptos" w:hAnsi="Times New Roman" w:cs="Times New Roman"/>
          <w:b/>
          <w:bCs/>
          <w:color w:val="000000"/>
          <w:kern w:val="2"/>
          <w:sz w:val="28"/>
          <w:szCs w:val="28"/>
          <w:lang w:val="vi-VN"/>
          <w14:ligatures w14:val="standardContextual"/>
        </w:rPr>
        <w:t xml:space="preserve"> </w:t>
      </w:r>
      <w:r w:rsidRPr="0059286F">
        <w:rPr>
          <w:rFonts w:ascii="Times New Roman" w:eastAsia="Aptos" w:hAnsi="Times New Roman" w:cs="Times New Roman"/>
          <w:color w:val="000000"/>
          <w:kern w:val="2"/>
          <w:sz w:val="28"/>
          <w:szCs w:val="28"/>
          <w:lang w:val="vi-VN"/>
          <w14:ligatures w14:val="standardContextual"/>
        </w:rPr>
        <w:t>tăng cường lãnh đạo, chỉ đạo công tác đấu thầu trong Tập đoàn Điện lực Việt Nam, Nghị quyết về tăng cường lãnh đạo, chỉ đạo công tác giám sát chuyên môn, nghiệp vụ</w:t>
      </w:r>
      <w:r w:rsidRPr="0059286F">
        <w:rPr>
          <w:rFonts w:ascii="Times New Roman" w:eastAsia="Aptos" w:hAnsi="Times New Roman" w:cs="Times New Roman"/>
          <w:color w:val="000000"/>
          <w:kern w:val="2"/>
          <w:sz w:val="28"/>
          <w:szCs w:val="28"/>
          <w:vertAlign w:val="superscript"/>
          <w14:ligatures w14:val="standardContextual"/>
        </w:rPr>
        <w:footnoteReference w:id="2"/>
      </w:r>
      <w:r w:rsidRPr="0059286F">
        <w:rPr>
          <w:rFonts w:ascii="Times New Roman" w:eastAsia="Aptos" w:hAnsi="Times New Roman" w:cs="Times New Roman"/>
          <w:color w:val="000000"/>
          <w:kern w:val="2"/>
          <w:sz w:val="28"/>
          <w:szCs w:val="28"/>
          <w:lang w:val="vi-VN"/>
          <w14:ligatures w14:val="standardContextual"/>
        </w:rPr>
        <w:t>; triển khai thực hiện kết luận của đồng chí Tổng Bí thư tại buổi làm việc với Ban Nội chính Trung ương</w:t>
      </w:r>
      <w:r w:rsidRPr="0059286F">
        <w:rPr>
          <w:rFonts w:ascii="Times New Roman" w:eastAsia="Aptos" w:hAnsi="Times New Roman" w:cs="Times New Roman"/>
          <w:color w:val="000000"/>
          <w:kern w:val="2"/>
          <w:sz w:val="28"/>
          <w:szCs w:val="28"/>
          <w:vertAlign w:val="superscript"/>
          <w14:ligatures w14:val="standardContextual"/>
        </w:rPr>
        <w:footnoteReference w:id="3"/>
      </w:r>
      <w:r w:rsidRPr="0059286F">
        <w:rPr>
          <w:rFonts w:ascii="Times New Roman" w:eastAsia="Aptos" w:hAnsi="Times New Roman" w:cs="Times New Roman"/>
          <w:color w:val="000000"/>
          <w:kern w:val="2"/>
          <w:sz w:val="28"/>
          <w:szCs w:val="28"/>
          <w:lang w:val="vi-VN"/>
          <w14:ligatures w14:val="standardContextual"/>
        </w:rPr>
        <w:t>; Kế hoạch triển khai thực hiện Nghị quyết số 66-NQ/TW của Bộ Chính trị về đổi mới công tác xây dựng và thi hành pháp luật</w:t>
      </w:r>
      <w:r w:rsidRPr="0059286F">
        <w:rPr>
          <w:rFonts w:ascii="Times New Roman" w:eastAsia="Aptos" w:hAnsi="Times New Roman" w:cs="Times New Roman"/>
          <w:color w:val="000000"/>
          <w:kern w:val="2"/>
          <w:sz w:val="28"/>
          <w:szCs w:val="28"/>
          <w:vertAlign w:val="superscript"/>
          <w14:ligatures w14:val="standardContextual"/>
        </w:rPr>
        <w:footnoteReference w:id="4"/>
      </w:r>
      <w:r w:rsidRPr="0059286F">
        <w:rPr>
          <w:rFonts w:ascii="Times New Roman" w:eastAsia="Aptos" w:hAnsi="Times New Roman" w:cs="Times New Roman"/>
          <w:color w:val="000000"/>
          <w:kern w:val="2"/>
          <w:sz w:val="28"/>
          <w:szCs w:val="28"/>
          <w:lang w:val="vi-VN"/>
          <w14:ligatures w14:val="standardContextual"/>
        </w:rPr>
        <w:t>; các cấp ủy trực thuộc cũng đã ban hành các Chương trình hành động để triển khai thực hiện các Nghị quyết, Kế hoạch của Đảng ủy Tập đoàn phù hợp với thực tiễn công tác của tổ chức đảng, đơn vị</w:t>
      </w:r>
      <w:r w:rsidRPr="0059286F">
        <w:rPr>
          <w:rFonts w:ascii="Times New Roman" w:eastAsia="Aptos" w:hAnsi="Times New Roman" w:cs="Times New Roman"/>
          <w:kern w:val="2"/>
          <w:sz w:val="28"/>
          <w:szCs w:val="28"/>
          <w:lang w:val="vi-VN"/>
          <w14:ligatures w14:val="standardContextual"/>
        </w:rPr>
        <w:t>.</w:t>
      </w:r>
    </w:p>
    <w:p w14:paraId="091F8AFB" w14:textId="41C45DD9" w:rsidR="00F11932" w:rsidRPr="0059286F" w:rsidRDefault="00F11932" w:rsidP="0059286F">
      <w:pPr>
        <w:spacing w:before="120" w:after="0" w:line="252" w:lineRule="auto"/>
        <w:ind w:firstLine="562"/>
        <w:jc w:val="both"/>
        <w:rPr>
          <w:rFonts w:ascii="Times New Roman" w:eastAsia="Aptos" w:hAnsi="Times New Roman" w:cs="Times New Roman"/>
          <w:kern w:val="2"/>
          <w:sz w:val="28"/>
          <w:szCs w:val="28"/>
          <w:lang w:val="vi-VN"/>
          <w14:ligatures w14:val="standardContextual"/>
        </w:rPr>
      </w:pPr>
      <w:r w:rsidRPr="0059286F">
        <w:rPr>
          <w:rFonts w:ascii="Times New Roman" w:eastAsia="Aptos" w:hAnsi="Times New Roman" w:cs="Times New Roman"/>
          <w:kern w:val="2"/>
          <w:sz w:val="28"/>
          <w:szCs w:val="28"/>
          <w:lang w:val="vi-VN"/>
          <w14:ligatures w14:val="standardContextual"/>
        </w:rPr>
        <w:t>- H</w:t>
      </w:r>
      <w:r w:rsidR="00CC7299" w:rsidRPr="0059286F">
        <w:rPr>
          <w:rFonts w:ascii="Times New Roman" w:eastAsia="Aptos" w:hAnsi="Times New Roman" w:cs="Times New Roman"/>
          <w:kern w:val="2"/>
          <w:sz w:val="28"/>
          <w:szCs w:val="28"/>
          <w:lang w:val="vi-VN"/>
          <w14:ligatures w14:val="standardContextual"/>
        </w:rPr>
        <w:t>ĐTV</w:t>
      </w:r>
      <w:r w:rsidRPr="0059286F">
        <w:rPr>
          <w:rFonts w:ascii="Times New Roman" w:eastAsia="Aptos" w:hAnsi="Times New Roman" w:cs="Times New Roman"/>
          <w:kern w:val="2"/>
          <w:sz w:val="28"/>
          <w:szCs w:val="28"/>
          <w:lang w:val="vi-VN"/>
          <w14:ligatures w14:val="standardContextual"/>
        </w:rPr>
        <w:t xml:space="preserve"> EVN đã ban hành Nghị quyết số 76/NQ-HĐTV ngày 07/3/2025 làm cơ sở ban hành Quyết định số 75/QĐ-HĐTV ngày 13/3/2025 về Chương trình tổng thể công tác phòng, chống tham nhũng, lãng phí, tiêu cực năm 2025; đồng thời ban hành Nghị quyết số 363/NQ-HĐTV ngày 17/12/2025 làm cơ sở ban hành Quyết định số 340/QĐ-HĐTV ngày 18/12/2025 về Chương trình tổng thể công tác phòng, chống tham nhũng, lãng phí, tiêu cực giai đoạn 2026–2030 của EVN.</w:t>
      </w:r>
    </w:p>
    <w:p w14:paraId="726EBDEF" w14:textId="77777777" w:rsidR="008C6792" w:rsidRPr="0059286F" w:rsidRDefault="006F1D4C" w:rsidP="0059286F">
      <w:pPr>
        <w:spacing w:before="120" w:after="0" w:line="252" w:lineRule="auto"/>
        <w:ind w:firstLine="561"/>
        <w:jc w:val="both"/>
        <w:rPr>
          <w:rFonts w:ascii="Times New Roman" w:eastAsia="Aptos" w:hAnsi="Times New Roman" w:cs="Times New Roman"/>
          <w:kern w:val="2"/>
          <w:sz w:val="28"/>
          <w:szCs w:val="28"/>
          <w:lang w:val="vi-VN"/>
          <w14:ligatures w14:val="standardContextual"/>
        </w:rPr>
      </w:pPr>
      <w:r w:rsidRPr="0059286F">
        <w:rPr>
          <w:rFonts w:ascii="Times New Roman" w:eastAsia="Aptos" w:hAnsi="Times New Roman" w:cs="Times New Roman"/>
          <w:kern w:val="2"/>
          <w:sz w:val="28"/>
          <w:szCs w:val="28"/>
          <w:lang w:val="vi-VN"/>
          <w14:ligatures w14:val="standardContextual"/>
        </w:rPr>
        <w:t xml:space="preserve">- Tập trung lãnh đạo, chỉ đạo công tác thanh tra, kiểm tra vào các lĩnh vực công tác nhạy cảm, có nguy cơ xảy ra tham nhũng, tiêu cực; công tác thực hành tiết kiệm, chống lãng phí được triển khai thường xuyên, nhằm kịp thời phát hiện các tồn tại, thiếu sót sai phạm và có biện pháp chấn chỉnh, xử lý kịp thời; </w:t>
      </w:r>
      <w:r w:rsidRPr="0059286F">
        <w:rPr>
          <w:rFonts w:ascii="Times New Roman" w:eastAsia="Aptos" w:hAnsi="Times New Roman" w:cs="Times New Roman"/>
          <w:bCs/>
          <w:color w:val="000000"/>
          <w:kern w:val="2"/>
          <w:sz w:val="28"/>
          <w:szCs w:val="28"/>
          <w:lang w:val="vi-VN"/>
          <w14:ligatures w14:val="standardContextual"/>
        </w:rPr>
        <w:t>t</w:t>
      </w:r>
      <w:r w:rsidRPr="0059286F">
        <w:rPr>
          <w:rFonts w:ascii="Times New Roman" w:eastAsia="Aptos" w:hAnsi="Times New Roman" w:cs="Times New Roman"/>
          <w:kern w:val="2"/>
          <w:sz w:val="28"/>
          <w:szCs w:val="28"/>
          <w:lang w:val="vi-VN"/>
          <w14:ligatures w14:val="standardContextual"/>
        </w:rPr>
        <w:t>ăng cường công tác xử lý, giải quyết khiếu nại, tố cáo, tiếp công dân, có phạm vi áp dụng trực tiếp đối với các đơn vị thuộc Tập đoàn.</w:t>
      </w:r>
    </w:p>
    <w:p w14:paraId="5DA8F8C8" w14:textId="65F13AEF" w:rsidR="006F1D4C" w:rsidRPr="0059286F" w:rsidRDefault="006F1D4C" w:rsidP="0059286F">
      <w:pPr>
        <w:spacing w:before="120" w:after="0" w:line="252" w:lineRule="auto"/>
        <w:ind w:firstLine="561"/>
        <w:jc w:val="both"/>
        <w:rPr>
          <w:rFonts w:ascii="Times New Roman" w:eastAsia="Aptos" w:hAnsi="Times New Roman" w:cs="Times New Roman"/>
          <w:kern w:val="2"/>
          <w:sz w:val="28"/>
          <w:szCs w:val="28"/>
          <w:lang w:val="vi-VN"/>
          <w14:ligatures w14:val="standardContextual"/>
        </w:rPr>
      </w:pPr>
      <w:r w:rsidRPr="0059286F">
        <w:rPr>
          <w:rFonts w:ascii="Times New Roman" w:eastAsia="Aptos" w:hAnsi="Times New Roman" w:cs="Times New Roman"/>
          <w:kern w:val="2"/>
          <w:sz w:val="28"/>
          <w:szCs w:val="28"/>
          <w:lang w:val="vi-VN"/>
          <w14:ligatures w14:val="standardContextual"/>
        </w:rPr>
        <w:t>- Chỉ đạo các đơn vị rà soát, báo cáo kết quả thực hiện kết luận, kiến nghị sau thanh tra, kiểm toán, giám sát để báo cáo các cơ quan Nhà nước có thẩm quyền:  Kiểm toán Nhà nước, Bộ Công Thương, Thanh tra Chính phủ; Thanh tra Bộ Tài chính; Ủy ban Kiểm tra Trung ương.</w:t>
      </w:r>
    </w:p>
    <w:p w14:paraId="365CE7F3" w14:textId="357A2283" w:rsidR="006F1D4C" w:rsidRPr="0059286F" w:rsidRDefault="00B548D1" w:rsidP="0059286F">
      <w:pPr>
        <w:pBdr>
          <w:top w:val="dotted" w:sz="4" w:space="0" w:color="FFFFFF"/>
          <w:left w:val="dotted" w:sz="4" w:space="0" w:color="FFFFFF"/>
          <w:bottom w:val="dotted" w:sz="4" w:space="1" w:color="FFFFFF"/>
          <w:right w:val="dotted" w:sz="4" w:space="0" w:color="FFFFFF"/>
        </w:pBdr>
        <w:shd w:val="clear" w:color="auto" w:fill="FFFFFF"/>
        <w:spacing w:before="120" w:after="0" w:line="252" w:lineRule="auto"/>
        <w:ind w:firstLine="567"/>
        <w:jc w:val="both"/>
        <w:rPr>
          <w:rFonts w:ascii="Times New Roman" w:eastAsia="Aptos" w:hAnsi="Times New Roman" w:cs="Times New Roman"/>
          <w:b/>
          <w:color w:val="EE0000"/>
          <w:spacing w:val="-4"/>
          <w:kern w:val="2"/>
          <w:sz w:val="28"/>
          <w:szCs w:val="28"/>
          <w:lang w:val="vi-VN"/>
          <w14:ligatures w14:val="standardContextual"/>
        </w:rPr>
      </w:pPr>
      <w:r w:rsidRPr="0059286F">
        <w:rPr>
          <w:rFonts w:ascii="Times New Roman" w:eastAsia="Aptos" w:hAnsi="Times New Roman" w:cs="Times New Roman"/>
          <w:b/>
          <w:spacing w:val="-4"/>
          <w:kern w:val="2"/>
          <w:sz w:val="28"/>
          <w:szCs w:val="28"/>
          <w:lang w:val="vi-VN"/>
          <w14:ligatures w14:val="standardContextual"/>
        </w:rPr>
        <w:t>3</w:t>
      </w:r>
      <w:r w:rsidR="006F1D4C" w:rsidRPr="0059286F">
        <w:rPr>
          <w:rFonts w:ascii="Times New Roman" w:eastAsia="Aptos" w:hAnsi="Times New Roman" w:cs="Times New Roman"/>
          <w:b/>
          <w:spacing w:val="-4"/>
          <w:kern w:val="2"/>
          <w:sz w:val="28"/>
          <w:szCs w:val="28"/>
          <w:lang w:val="vi-VN"/>
          <w14:ligatures w14:val="standardContextual"/>
        </w:rPr>
        <w:t>. Công tác xây dựng và hoàn thiện các thể chế</w:t>
      </w:r>
    </w:p>
    <w:p w14:paraId="253B2035" w14:textId="459B49AB" w:rsidR="006F1D4C" w:rsidRPr="0059286F" w:rsidRDefault="006F1D4C" w:rsidP="0059286F">
      <w:pPr>
        <w:pBdr>
          <w:top w:val="dotted" w:sz="4" w:space="0" w:color="FFFFFF"/>
          <w:left w:val="dotted" w:sz="4" w:space="0" w:color="FFFFFF"/>
          <w:bottom w:val="dotted" w:sz="4" w:space="1" w:color="FFFFFF"/>
          <w:right w:val="dotted" w:sz="4" w:space="0" w:color="FFFFFF"/>
        </w:pBdr>
        <w:shd w:val="clear" w:color="auto" w:fill="FFFFFF"/>
        <w:spacing w:before="120" w:after="0" w:line="252" w:lineRule="auto"/>
        <w:ind w:firstLine="567"/>
        <w:jc w:val="both"/>
        <w:rPr>
          <w:rFonts w:ascii="Times New Roman" w:eastAsia="Aptos" w:hAnsi="Times New Roman" w:cs="Times New Roman"/>
          <w:kern w:val="2"/>
          <w:sz w:val="28"/>
          <w:szCs w:val="28"/>
          <w:lang w:val="vi-VN"/>
          <w14:ligatures w14:val="standardContextual"/>
        </w:rPr>
      </w:pPr>
      <w:r w:rsidRPr="0059286F">
        <w:rPr>
          <w:rFonts w:ascii="Times New Roman" w:eastAsia="Aptos" w:hAnsi="Times New Roman" w:cs="Times New Roman"/>
          <w:kern w:val="2"/>
          <w:sz w:val="28"/>
          <w:szCs w:val="28"/>
          <w:lang w:val="vi-VN"/>
          <w14:ligatures w14:val="standardContextual"/>
        </w:rPr>
        <w:lastRenderedPageBreak/>
        <w:t xml:space="preserve">- Thực hiện Nghị quyết số 428/NQ-HĐTV ngày 16/12/2024, Tổng giám đốc EVN đã chỉ đạo xây dựng Quy chế phân cấp trong </w:t>
      </w:r>
      <w:r w:rsidR="0024166B" w:rsidRPr="0059286F">
        <w:rPr>
          <w:rFonts w:ascii="Times New Roman" w:eastAsia="Aptos" w:hAnsi="Times New Roman" w:cs="Times New Roman"/>
          <w:kern w:val="2"/>
          <w:sz w:val="28"/>
          <w:szCs w:val="28"/>
          <w:lang w:val="vi-VN"/>
          <w14:ligatures w14:val="standardContextual"/>
        </w:rPr>
        <w:t xml:space="preserve">EVN </w:t>
      </w:r>
      <w:r w:rsidRPr="0059286F">
        <w:rPr>
          <w:rFonts w:ascii="Times New Roman" w:eastAsia="Aptos" w:hAnsi="Times New Roman" w:cs="Times New Roman"/>
          <w:kern w:val="2"/>
          <w:sz w:val="28"/>
          <w:szCs w:val="28"/>
          <w:lang w:val="vi-VN"/>
          <w14:ligatures w14:val="standardContextual"/>
        </w:rPr>
        <w:t>trình HĐTV tại Tờ trình số 284/TTr-EVN ngày 12/01/2025 theo định hướng tăng cường phân cấp, phân quyền cho các cấp đơn vị. Quy chế phân cấp được ban hành kèm theo Quyết định số 99/QĐ-HĐTV ngày 25/4/2025 của HĐTV và được sửa đổi, bổ sung một số điều tại Quyết định số 01/QĐ-HĐTV ngày 01/01/2026 của HĐTV.</w:t>
      </w:r>
    </w:p>
    <w:p w14:paraId="684F5D4E" w14:textId="7165F644" w:rsidR="006F1D4C" w:rsidRPr="0059286F" w:rsidRDefault="006F1D4C" w:rsidP="0059286F">
      <w:pPr>
        <w:pBdr>
          <w:top w:val="dotted" w:sz="4" w:space="0" w:color="FFFFFF"/>
          <w:left w:val="dotted" w:sz="4" w:space="0" w:color="FFFFFF"/>
          <w:bottom w:val="dotted" w:sz="4" w:space="1" w:color="FFFFFF"/>
          <w:right w:val="dotted" w:sz="4" w:space="0" w:color="FFFFFF"/>
        </w:pBdr>
        <w:shd w:val="clear" w:color="auto" w:fill="FFFFFF"/>
        <w:spacing w:before="120" w:after="0" w:line="252" w:lineRule="auto"/>
        <w:ind w:firstLine="567"/>
        <w:jc w:val="both"/>
        <w:rPr>
          <w:rFonts w:ascii="Times New Roman" w:eastAsia="Aptos" w:hAnsi="Times New Roman" w:cs="Times New Roman"/>
          <w:kern w:val="2"/>
          <w:sz w:val="28"/>
          <w:szCs w:val="28"/>
          <w:lang w:val="vi-VN"/>
          <w14:ligatures w14:val="standardContextual"/>
        </w:rPr>
      </w:pPr>
      <w:r w:rsidRPr="0059286F">
        <w:rPr>
          <w:rFonts w:ascii="Times New Roman" w:eastAsia="Aptos" w:hAnsi="Times New Roman" w:cs="Times New Roman"/>
          <w:kern w:val="2"/>
          <w:sz w:val="28"/>
          <w:szCs w:val="28"/>
          <w:lang w:val="vi-VN"/>
          <w14:ligatures w14:val="standardContextual"/>
        </w:rPr>
        <w:tab/>
        <w:t>- Năm 2025, EVN đã phối hợp với Tư vấn luật đã rà soát tổng thể 1527 VBQPPL, đánh giá tác động của 232 VBQPPL có liên quan đến hoạt động của EVN, đơn vị; ban hành mới 16 QCQLNB, đã trình HĐTV 02 QCQLNB, đang dự thảo 02 QCQLNB trong lĩnh vực an toàn. EVN đã ban hành Quyết định số 656/QĐ-EVN, ngày 23/5/2025 công bố Danh mục Quy chế quản lý nội bộ do Tập đoàn Điện lực Việt Nam ban hành hết hiệu lực thi hành với 18 QCQLNB và 01 quy định khác (đợt 1), Quyết định số 939/QĐ-EVN ngày 24/6/2025 với 12 QCQLNB và 02 quy định khác (đợt 2), Quyết định số 1114/QĐ-EVN ngày 29/7/2025 với 01 QCQLNB và 01 quy định khác (đợt 3), Quyết định số 1463/QĐ-EVN ngày 16/10/2025 công bố hết hiệu lực thi hành với 02 quy định và 01 hướng dẫn (đợt 4).</w:t>
      </w:r>
    </w:p>
    <w:p w14:paraId="4B4E8779" w14:textId="60FB55A5" w:rsidR="00F11932" w:rsidRPr="0059286F" w:rsidRDefault="00F11932" w:rsidP="0059286F">
      <w:pPr>
        <w:pBdr>
          <w:top w:val="dotted" w:sz="4" w:space="0" w:color="FFFFFF"/>
          <w:left w:val="dotted" w:sz="4" w:space="0" w:color="FFFFFF"/>
          <w:bottom w:val="dotted" w:sz="4" w:space="1" w:color="FFFFFF"/>
          <w:right w:val="dotted" w:sz="4" w:space="0" w:color="FFFFFF"/>
        </w:pBdr>
        <w:shd w:val="clear" w:color="auto" w:fill="FFFFFF"/>
        <w:spacing w:before="120" w:after="0" w:line="252" w:lineRule="auto"/>
        <w:ind w:firstLine="567"/>
        <w:jc w:val="both"/>
        <w:rPr>
          <w:rFonts w:ascii="Times New Roman" w:eastAsia="Aptos" w:hAnsi="Times New Roman" w:cs="Times New Roman"/>
          <w:kern w:val="2"/>
          <w:sz w:val="28"/>
          <w:szCs w:val="28"/>
          <w:lang w:val="vi-VN"/>
          <w14:ligatures w14:val="standardContextual"/>
        </w:rPr>
      </w:pPr>
      <w:r w:rsidRPr="0059286F">
        <w:rPr>
          <w:rFonts w:ascii="Times New Roman" w:eastAsia="Aptos" w:hAnsi="Times New Roman" w:cs="Times New Roman"/>
          <w:kern w:val="2"/>
          <w:sz w:val="28"/>
          <w:szCs w:val="28"/>
          <w:lang w:val="vi-VN"/>
          <w14:ligatures w14:val="standardContextual"/>
        </w:rPr>
        <w:t>- EVN đã phê duyệt và ban hành Chương trình cải cách hành chính của Tập đoàn Điện lực Quốc gia Việt Nam giai đoạn 2021–2025 (</w:t>
      </w:r>
      <w:r w:rsidRPr="0059286F">
        <w:rPr>
          <w:rFonts w:ascii="Times New Roman" w:eastAsia="Aptos" w:hAnsi="Times New Roman" w:cs="Times New Roman"/>
          <w:i/>
          <w:iCs/>
          <w:kern w:val="2"/>
          <w:sz w:val="28"/>
          <w:szCs w:val="28"/>
          <w:lang w:val="vi-VN"/>
          <w14:ligatures w14:val="standardContextual"/>
        </w:rPr>
        <w:t>ban hành kèm theo Quyết định số 259/QĐ-EVN ngày 20/02/2021)</w:t>
      </w:r>
      <w:r w:rsidRPr="0059286F">
        <w:rPr>
          <w:rFonts w:ascii="Times New Roman" w:eastAsia="Aptos" w:hAnsi="Times New Roman" w:cs="Times New Roman"/>
          <w:kern w:val="2"/>
          <w:sz w:val="28"/>
          <w:szCs w:val="28"/>
          <w:lang w:val="vi-VN"/>
          <w14:ligatures w14:val="standardContextual"/>
        </w:rPr>
        <w:t xml:space="preserve"> và Kế hoạch cải cách hành chính của Cơ quan </w:t>
      </w:r>
      <w:r w:rsidR="00E676C0" w:rsidRPr="0059286F">
        <w:rPr>
          <w:rFonts w:ascii="Times New Roman" w:eastAsia="Aptos" w:hAnsi="Times New Roman" w:cs="Times New Roman"/>
          <w:kern w:val="2"/>
          <w:sz w:val="28"/>
          <w:szCs w:val="28"/>
          <w:lang w:val="vi-VN"/>
          <w14:ligatures w14:val="standardContextual"/>
        </w:rPr>
        <w:t>EVN</w:t>
      </w:r>
      <w:r w:rsidRPr="0059286F">
        <w:rPr>
          <w:rFonts w:ascii="Times New Roman" w:eastAsia="Aptos" w:hAnsi="Times New Roman" w:cs="Times New Roman"/>
          <w:kern w:val="2"/>
          <w:sz w:val="28"/>
          <w:szCs w:val="28"/>
          <w:lang w:val="vi-VN"/>
          <w14:ligatures w14:val="standardContextual"/>
        </w:rPr>
        <w:t xml:space="preserve"> năm 2025 </w:t>
      </w:r>
      <w:r w:rsidRPr="0059286F">
        <w:rPr>
          <w:rFonts w:ascii="Times New Roman" w:eastAsia="Aptos" w:hAnsi="Times New Roman" w:cs="Times New Roman"/>
          <w:i/>
          <w:iCs/>
          <w:kern w:val="2"/>
          <w:sz w:val="28"/>
          <w:szCs w:val="28"/>
          <w:lang w:val="vi-VN"/>
          <w14:ligatures w14:val="standardContextual"/>
        </w:rPr>
        <w:t>(ban hành kèm theo Quyết định số 204/QĐ-EVN ngày 07/02/2025).</w:t>
      </w:r>
    </w:p>
    <w:p w14:paraId="5C4CB50F" w14:textId="1A4512E6" w:rsidR="00F11932" w:rsidRPr="0059286F" w:rsidRDefault="00F11932" w:rsidP="0059286F">
      <w:pPr>
        <w:pBdr>
          <w:top w:val="dotted" w:sz="4" w:space="0" w:color="FFFFFF"/>
          <w:left w:val="dotted" w:sz="4" w:space="0" w:color="FFFFFF"/>
          <w:bottom w:val="dotted" w:sz="4" w:space="1" w:color="FFFFFF"/>
          <w:right w:val="dotted" w:sz="4" w:space="0" w:color="FFFFFF"/>
        </w:pBdr>
        <w:shd w:val="clear" w:color="auto" w:fill="FFFFFF"/>
        <w:spacing w:before="120" w:after="0" w:line="252" w:lineRule="auto"/>
        <w:ind w:firstLine="567"/>
        <w:jc w:val="both"/>
        <w:rPr>
          <w:rFonts w:ascii="Times New Roman" w:eastAsia="Aptos" w:hAnsi="Times New Roman" w:cs="Times New Roman"/>
          <w:kern w:val="2"/>
          <w:sz w:val="28"/>
          <w:szCs w:val="28"/>
          <w:lang w:val="vi-VN"/>
          <w14:ligatures w14:val="standardContextual"/>
        </w:rPr>
      </w:pPr>
      <w:r w:rsidRPr="0059286F">
        <w:rPr>
          <w:rFonts w:ascii="Times New Roman" w:eastAsia="Aptos" w:hAnsi="Times New Roman" w:cs="Times New Roman"/>
          <w:kern w:val="2"/>
          <w:sz w:val="28"/>
          <w:szCs w:val="28"/>
          <w:lang w:val="vi-VN"/>
          <w14:ligatures w14:val="standardContextual"/>
        </w:rPr>
        <w:t>EVN đã chỉ đạo các đơn vị thực hiện nghiêm túc các quy định về chế độ, định mức, tiêu chuẩn; đồng thời thường xuyên cập nhật, công khai đầy đủ trên trang thông tin điện tử của EVN và ban hành văn bản phổ biến, hướng dẫn đến các ban, đơn vị trực thuộc để tổ chức triển khai thực hiện. Bên cạnh đó, EVN chú trọng nâng cao chất lượng công tác xây dựng, soạn thảo và ban hành các quy chế quản lý nội bộ, bảo đảm tính đồng bộ, hiệu quả, hạn chế chồng chéo, mâu thuẫn, trái quy định pháp luật; định kỳ rà soát, công bố các quy chế quản lý nội bộ hết hiệu lực thi hành.</w:t>
      </w:r>
    </w:p>
    <w:p w14:paraId="531FDF59" w14:textId="676BFCE9" w:rsidR="009352DE" w:rsidRPr="0059286F" w:rsidRDefault="006F1D4C" w:rsidP="0059286F">
      <w:pPr>
        <w:pBdr>
          <w:top w:val="dotted" w:sz="4" w:space="0" w:color="FFFFFF"/>
          <w:left w:val="dotted" w:sz="4" w:space="0" w:color="FFFFFF"/>
          <w:bottom w:val="dotted" w:sz="4" w:space="1" w:color="FFFFFF"/>
          <w:right w:val="dotted" w:sz="4" w:space="0" w:color="FFFFFF"/>
        </w:pBdr>
        <w:shd w:val="clear" w:color="auto" w:fill="FFFFFF"/>
        <w:spacing w:before="120" w:after="0" w:line="252" w:lineRule="auto"/>
        <w:ind w:firstLine="567"/>
        <w:jc w:val="both"/>
        <w:rPr>
          <w:rFonts w:ascii="Times New Roman" w:eastAsia="Aptos" w:hAnsi="Times New Roman" w:cs="Times New Roman"/>
          <w:kern w:val="2"/>
          <w:sz w:val="28"/>
          <w:szCs w:val="28"/>
          <w:lang w:val="vi-VN"/>
          <w14:ligatures w14:val="standardContextual"/>
        </w:rPr>
      </w:pPr>
      <w:r w:rsidRPr="0059286F">
        <w:rPr>
          <w:rFonts w:ascii="Times New Roman" w:eastAsia="Aptos" w:hAnsi="Times New Roman" w:cs="Times New Roman"/>
          <w:kern w:val="2"/>
          <w:sz w:val="28"/>
          <w:szCs w:val="28"/>
          <w:lang w:val="vi-VN"/>
          <w14:ligatures w14:val="standardContextual"/>
        </w:rPr>
        <w:t xml:space="preserve">- Liên quan đến việc rà soát các khó khăn, vướng mắc của các văn bản quy phạm pháp luật, EVN đã có các văn bản báo cáo các cơ quan có thẩm quyền về các khó khăn, vướng mắc bất cập và đề xuất, kiến nghị các nội dung sửa đổi, bổ sung; giải pháp cụ thể; mức độ cấp thiết của việc sửa đổi, bổ sung để các cấp có thẩm quyền xem xét, tháo gỡ các bất cập, vướng mắc trong hệ thống VBQPPL. </w:t>
      </w:r>
    </w:p>
    <w:p w14:paraId="75122547" w14:textId="2BF314B9" w:rsidR="00484941" w:rsidRPr="0059286F" w:rsidRDefault="009352DE" w:rsidP="0059286F">
      <w:pPr>
        <w:pBdr>
          <w:top w:val="dotted" w:sz="4" w:space="0" w:color="FFFFFF"/>
          <w:left w:val="dotted" w:sz="4" w:space="0" w:color="FFFFFF"/>
          <w:bottom w:val="dotted" w:sz="4" w:space="1" w:color="FFFFFF"/>
          <w:right w:val="dotted" w:sz="4" w:space="0" w:color="FFFFFF"/>
        </w:pBdr>
        <w:shd w:val="clear" w:color="auto" w:fill="FFFFFF"/>
        <w:spacing w:before="120" w:after="0" w:line="252" w:lineRule="auto"/>
        <w:ind w:firstLine="567"/>
        <w:jc w:val="both"/>
        <w:rPr>
          <w:rFonts w:ascii="Times New Roman" w:eastAsia="Aptos" w:hAnsi="Times New Roman" w:cs="Times New Roman"/>
          <w:b/>
          <w:kern w:val="2"/>
          <w:sz w:val="28"/>
          <w:szCs w:val="28"/>
          <w:lang w:val="vi-VN"/>
          <w14:ligatures w14:val="standardContextual"/>
        </w:rPr>
      </w:pPr>
      <w:r w:rsidRPr="0059286F">
        <w:rPr>
          <w:rFonts w:ascii="Times New Roman" w:eastAsia="Aptos" w:hAnsi="Times New Roman" w:cs="Times New Roman"/>
          <w:b/>
          <w:kern w:val="2"/>
          <w:sz w:val="28"/>
          <w:szCs w:val="28"/>
          <w:lang w:val="vi-VN"/>
          <w14:ligatures w14:val="standardContextual"/>
        </w:rPr>
        <w:t>4</w:t>
      </w:r>
      <w:r w:rsidR="006F1D4C" w:rsidRPr="0059286F">
        <w:rPr>
          <w:rFonts w:ascii="Times New Roman" w:eastAsia="Aptos" w:hAnsi="Times New Roman" w:cs="Times New Roman"/>
          <w:b/>
          <w:kern w:val="2"/>
          <w:sz w:val="28"/>
          <w:szCs w:val="28"/>
          <w:lang w:val="vi-VN"/>
          <w14:ligatures w14:val="standardContextual"/>
        </w:rPr>
        <w:t>. Công tác thông tin, tuyên truyền, giáo dục về PCTN, LP, TC</w:t>
      </w:r>
    </w:p>
    <w:p w14:paraId="1A57A384" w14:textId="4F3666CA" w:rsidR="006F1D4C" w:rsidRPr="0059286F" w:rsidRDefault="006F1D4C" w:rsidP="0059286F">
      <w:pPr>
        <w:pBdr>
          <w:top w:val="dotted" w:sz="4" w:space="0" w:color="FFFFFF"/>
          <w:left w:val="dotted" w:sz="4" w:space="0" w:color="FFFFFF"/>
          <w:bottom w:val="dotted" w:sz="4" w:space="1" w:color="FFFFFF"/>
          <w:right w:val="dotted" w:sz="4" w:space="0" w:color="FFFFFF"/>
        </w:pBdr>
        <w:shd w:val="clear" w:color="auto" w:fill="FFFFFF"/>
        <w:spacing w:before="120" w:after="0" w:line="252" w:lineRule="auto"/>
        <w:ind w:firstLine="567"/>
        <w:jc w:val="both"/>
        <w:rPr>
          <w:rFonts w:ascii="Times New Roman" w:eastAsia="Aptos" w:hAnsi="Times New Roman" w:cs="Times New Roman"/>
          <w:kern w:val="2"/>
          <w:sz w:val="28"/>
          <w:szCs w:val="28"/>
          <w:lang w:val="vi-VN"/>
          <w14:ligatures w14:val="standardContextual"/>
        </w:rPr>
      </w:pPr>
      <w:r w:rsidRPr="0059286F">
        <w:rPr>
          <w:rFonts w:ascii="Times New Roman" w:eastAsia="Aptos" w:hAnsi="Times New Roman" w:cs="Times New Roman"/>
          <w:kern w:val="2"/>
          <w:sz w:val="28"/>
          <w:szCs w:val="28"/>
          <w:lang w:val="vi-VN"/>
          <w14:ligatures w14:val="standardContextual"/>
        </w:rPr>
        <w:t xml:space="preserve">- Đảng ủy EVN duy trì thường xuyên tuyên truyền, phổ biến, quán triệt các chủ trương, chính sách của Đảng và văn bản pháp luật, hướng dẫn về công tác PCTN, LP, TC đến toàn thể đảng viên, CBCNV trong EVN; gắn việc đấu tranh phòng, chống tham nhũng, lãng phí với việc đẩy mạnh học tập và làm theo tư tưởng, đạo đức, phong cách Hồ Chí Minh; việc tuyên truyền, phổ biến, quán triệt các văn bản pháp luật, chỉ đạo, hướng dẫn của EVN về công tác PCTN, tiêu cực thông qua các buổi </w:t>
      </w:r>
      <w:r w:rsidRPr="0059286F">
        <w:rPr>
          <w:rFonts w:ascii="Times New Roman" w:eastAsia="Aptos" w:hAnsi="Times New Roman" w:cs="Times New Roman"/>
          <w:kern w:val="2"/>
          <w:sz w:val="28"/>
          <w:szCs w:val="28"/>
          <w:lang w:val="vi-VN"/>
          <w14:ligatures w14:val="standardContextual"/>
        </w:rPr>
        <w:lastRenderedPageBreak/>
        <w:t>giao ban truyền hình, các cuộc họp, hội nghị, sinh hoạt định kỳ; cập nhật thông tin đưa lên trang web EVN, các đơn vị, sao gửi tài liệu, phổ biến nội dung các văn bản liên quan đến từng tổ chức đảng, đơn vị.</w:t>
      </w:r>
    </w:p>
    <w:p w14:paraId="2F28C10B" w14:textId="46F7B10A" w:rsidR="006F1D4C" w:rsidRPr="0059286F" w:rsidRDefault="006F1D4C" w:rsidP="0059286F">
      <w:pPr>
        <w:pBdr>
          <w:top w:val="dotted" w:sz="4" w:space="0" w:color="FFFFFF"/>
          <w:left w:val="dotted" w:sz="4" w:space="0" w:color="FFFFFF"/>
          <w:bottom w:val="dotted" w:sz="4" w:space="1" w:color="FFFFFF"/>
          <w:right w:val="dotted" w:sz="4" w:space="0" w:color="FFFFFF"/>
        </w:pBdr>
        <w:spacing w:before="120" w:after="0" w:line="252" w:lineRule="auto"/>
        <w:ind w:firstLine="567"/>
        <w:jc w:val="both"/>
        <w:rPr>
          <w:rFonts w:ascii="Times New Roman" w:eastAsia="Aptos" w:hAnsi="Times New Roman" w:cs="Times New Roman"/>
          <w:kern w:val="2"/>
          <w:sz w:val="28"/>
          <w:szCs w:val="28"/>
          <w:lang w:val="vi-VN"/>
          <w14:ligatures w14:val="standardContextual"/>
        </w:rPr>
      </w:pPr>
      <w:r w:rsidRPr="0059286F">
        <w:rPr>
          <w:rFonts w:ascii="Times New Roman" w:eastAsia="Aptos" w:hAnsi="Times New Roman" w:cs="Times New Roman"/>
          <w:kern w:val="2"/>
          <w:sz w:val="28"/>
          <w:szCs w:val="28"/>
          <w:lang w:val="vi-VN"/>
          <w14:ligatures w14:val="standardContextual"/>
        </w:rPr>
        <w:t xml:space="preserve">- Tập trung lãnh đạo tổ chức </w:t>
      </w:r>
      <w:r w:rsidRPr="0059286F">
        <w:rPr>
          <w:rFonts w:ascii="Times New Roman" w:eastAsia="Aptos" w:hAnsi="Times New Roman" w:cs="Times New Roman"/>
          <w:kern w:val="2"/>
          <w:sz w:val="28"/>
          <w:szCs w:val="28"/>
          <w:lang w:val="da-DK" w:eastAsia="vi-VN"/>
          <w14:ligatures w14:val="standardContextual"/>
        </w:rPr>
        <w:t xml:space="preserve">quán triệt sâu sắc </w:t>
      </w:r>
      <w:r w:rsidRPr="0059286F">
        <w:rPr>
          <w:rFonts w:ascii="Times New Roman" w:eastAsia="Aptos" w:hAnsi="Times New Roman" w:cs="Times New Roman"/>
          <w:kern w:val="2"/>
          <w:sz w:val="28"/>
          <w:szCs w:val="28"/>
          <w:lang w:val="vi-VN"/>
          <w14:ligatures w14:val="standardContextual"/>
        </w:rPr>
        <w:t xml:space="preserve">nội dung Bài phát biểu kết luận của đồng chí Tổng Bí thư Tô Lâm, Trưởng Ban Chỉ đạo tại Hội nghị toàn quốc tổng kết công tác </w:t>
      </w:r>
      <w:r w:rsidR="00C42009" w:rsidRPr="0059286F">
        <w:rPr>
          <w:rFonts w:ascii="Times New Roman" w:eastAsia="Aptos" w:hAnsi="Times New Roman" w:cs="Times New Roman"/>
          <w:kern w:val="2"/>
          <w:sz w:val="28"/>
          <w:szCs w:val="28"/>
          <w:lang w:val="vi-VN"/>
          <w14:ligatures w14:val="standardContextual"/>
        </w:rPr>
        <w:t>PCTN</w:t>
      </w:r>
      <w:r w:rsidRPr="0059286F">
        <w:rPr>
          <w:rFonts w:ascii="Times New Roman" w:eastAsia="Aptos" w:hAnsi="Times New Roman" w:cs="Times New Roman"/>
          <w:kern w:val="2"/>
          <w:sz w:val="28"/>
          <w:szCs w:val="28"/>
          <w:lang w:val="vi-VN"/>
          <w14:ligatures w14:val="standardContextual"/>
        </w:rPr>
        <w:t>, lãng phí, tiêu cực nhiệm kỳ Đại hội XIII của Đảng, đồng thời chỉ đạo triển khai thực hiện trong Đảng bộ Tập đoàn.</w:t>
      </w:r>
    </w:p>
    <w:p w14:paraId="49827E6A" w14:textId="77777777" w:rsidR="006F1D4C" w:rsidRPr="0059286F" w:rsidRDefault="006F1D4C" w:rsidP="0059286F">
      <w:pPr>
        <w:pBdr>
          <w:top w:val="dotted" w:sz="4" w:space="0" w:color="FFFFFF"/>
          <w:left w:val="dotted" w:sz="4" w:space="0" w:color="FFFFFF"/>
          <w:bottom w:val="dotted" w:sz="4" w:space="1" w:color="FFFFFF"/>
          <w:right w:val="dotted" w:sz="4" w:space="0" w:color="FFFFFF"/>
        </w:pBdr>
        <w:shd w:val="clear" w:color="auto" w:fill="FFFFFF"/>
        <w:spacing w:before="120" w:after="0" w:line="252" w:lineRule="auto"/>
        <w:ind w:firstLine="567"/>
        <w:jc w:val="both"/>
        <w:rPr>
          <w:rFonts w:ascii="Times New Roman" w:eastAsia="Aptos" w:hAnsi="Times New Roman" w:cs="Times New Roman"/>
          <w:kern w:val="2"/>
          <w:sz w:val="28"/>
          <w:szCs w:val="28"/>
          <w:lang w:val="da-DK"/>
          <w14:ligatures w14:val="standardContextual"/>
        </w:rPr>
      </w:pPr>
      <w:r w:rsidRPr="0059286F">
        <w:rPr>
          <w:rFonts w:ascii="Times New Roman" w:eastAsia="Aptos" w:hAnsi="Times New Roman" w:cs="Times New Roman"/>
          <w:kern w:val="2"/>
          <w:sz w:val="28"/>
          <w:szCs w:val="28"/>
          <w:lang w:val="da-DK" w:eastAsia="vi-VN"/>
          <w14:ligatures w14:val="standardContextual"/>
        </w:rPr>
        <w:t xml:space="preserve">- Tiếp tục triển khai nội dung các </w:t>
      </w:r>
      <w:r w:rsidRPr="0059286F">
        <w:rPr>
          <w:rFonts w:ascii="Times New Roman" w:eastAsia="Aptos" w:hAnsi="Times New Roman" w:cs="Times New Roman"/>
          <w:kern w:val="2"/>
          <w:sz w:val="28"/>
          <w:szCs w:val="28"/>
          <w:lang w:val="vi-VN"/>
          <w14:ligatures w14:val="standardContextual"/>
        </w:rPr>
        <w:t xml:space="preserve">chủ trương, chính sách của Đảng và </w:t>
      </w:r>
      <w:r w:rsidRPr="0059286F">
        <w:rPr>
          <w:rFonts w:ascii="Times New Roman" w:eastAsia="Aptos" w:hAnsi="Times New Roman" w:cs="Times New Roman"/>
          <w:kern w:val="2"/>
          <w:sz w:val="28"/>
          <w:szCs w:val="28"/>
          <w:lang w:val="da-DK" w:eastAsia="vi-VN"/>
          <w14:ligatures w14:val="standardContextual"/>
        </w:rPr>
        <w:t xml:space="preserve">Nghị quyết, Kết luận của Đảng, </w:t>
      </w:r>
      <w:r w:rsidRPr="0059286F">
        <w:rPr>
          <w:rFonts w:ascii="Times New Roman" w:eastAsia="Aptos" w:hAnsi="Times New Roman" w:cs="Times New Roman"/>
          <w:bCs/>
          <w:iCs/>
          <w:kern w:val="2"/>
          <w:sz w:val="28"/>
          <w:szCs w:val="28"/>
          <w:lang w:val="da-DK"/>
          <w14:ligatures w14:val="standardContextual"/>
        </w:rPr>
        <w:t>chính sách pháp luật của Nhà nước về PCTN, tiêu cực, lãng phí trọng tâm là:</w:t>
      </w:r>
      <w:r w:rsidRPr="0059286F">
        <w:rPr>
          <w:rFonts w:ascii="Times New Roman" w:eastAsia="Aptos" w:hAnsi="Times New Roman" w:cs="Times New Roman"/>
          <w:kern w:val="2"/>
          <w:sz w:val="28"/>
          <w:szCs w:val="28"/>
          <w:lang w:val="da-DK"/>
          <w14:ligatures w14:val="standardContextual"/>
        </w:rPr>
        <w:t xml:space="preserve"> </w:t>
      </w:r>
      <w:r w:rsidRPr="0059286F">
        <w:rPr>
          <w:rFonts w:ascii="Times New Roman" w:eastAsia="Aptos" w:hAnsi="Times New Roman" w:cs="Times New Roman"/>
          <w:bCs/>
          <w:iCs/>
          <w:kern w:val="2"/>
          <w:sz w:val="28"/>
          <w:szCs w:val="28"/>
          <w:lang w:val="da-DK"/>
          <w14:ligatures w14:val="standardContextual"/>
        </w:rPr>
        <w:t>Luật PCTN năm 2018;</w:t>
      </w:r>
      <w:r w:rsidRPr="0059286F">
        <w:rPr>
          <w:rFonts w:ascii="Times New Roman" w:eastAsia="Aptos" w:hAnsi="Times New Roman" w:cs="Times New Roman"/>
          <w:kern w:val="2"/>
          <w:sz w:val="28"/>
          <w:szCs w:val="28"/>
          <w:lang w:val="da-DK" w:eastAsia="vi-VN"/>
          <w14:ligatures w14:val="standardContextual"/>
        </w:rPr>
        <w:t xml:space="preserve"> </w:t>
      </w:r>
      <w:r w:rsidRPr="0059286F">
        <w:rPr>
          <w:rFonts w:ascii="Times New Roman" w:eastAsia="Aptos" w:hAnsi="Times New Roman" w:cs="Times New Roman"/>
          <w:kern w:val="2"/>
          <w:sz w:val="28"/>
          <w:szCs w:val="28"/>
          <w:lang w:val="da-DK"/>
          <w14:ligatures w14:val="standardContextual"/>
        </w:rPr>
        <w:t>Kết luận số 10-KL/TW của Bộ Chính trị về tiếp tục thực hiện Nghị quyết Trung ương 3 khoá X về tăng cường sự lãnh đạo của Đảng đối với công tác PCTN; Chỉ thị số 50-CT/TW, ngày 07/12/2015 của Bộ Chính trị về tăng cường sự lãnh đạo của Đảng đối với công tác phát hiện, xử lý vụ việc, vụ án tham nhũng…;</w:t>
      </w:r>
      <w:r w:rsidRPr="0059286F">
        <w:rPr>
          <w:rFonts w:ascii="Times New Roman" w:eastAsia="Aptos" w:hAnsi="Times New Roman" w:cs="Times New Roman"/>
          <w:kern w:val="2"/>
          <w:sz w:val="28"/>
          <w:szCs w:val="28"/>
          <w:lang w:val="da-DK" w:eastAsia="vi-VN"/>
          <w14:ligatures w14:val="standardContextual"/>
        </w:rPr>
        <w:t xml:space="preserve"> triển khai </w:t>
      </w:r>
      <w:r w:rsidRPr="0059286F">
        <w:rPr>
          <w:rFonts w:ascii="Times New Roman" w:eastAsia="Aptos" w:hAnsi="Times New Roman" w:cs="Times New Roman"/>
          <w:kern w:val="2"/>
          <w:sz w:val="28"/>
          <w:szCs w:val="28"/>
          <w:lang w:val="da-DK"/>
          <w14:ligatures w14:val="standardContextual"/>
        </w:rPr>
        <w:t xml:space="preserve">thực hiện </w:t>
      </w:r>
      <w:r w:rsidRPr="0059286F">
        <w:rPr>
          <w:rFonts w:ascii="Times New Roman" w:eastAsia="Aptos" w:hAnsi="Times New Roman" w:cs="Times New Roman"/>
          <w:spacing w:val="-6"/>
          <w:kern w:val="2"/>
          <w:sz w:val="28"/>
          <w:szCs w:val="28"/>
          <w:lang w:val="da-DK"/>
          <w14:ligatures w14:val="standardContextual"/>
        </w:rPr>
        <w:t xml:space="preserve">Kết luận số 21-KL/TW, ngày 25/10/2021 của BCH Trung ương, Hội nghị Trung ương 4 khóa XIII 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hóa" </w:t>
      </w:r>
      <w:r w:rsidRPr="0059286F">
        <w:rPr>
          <w:rFonts w:ascii="Times New Roman" w:eastAsia="Aptos" w:hAnsi="Times New Roman" w:cs="Times New Roman"/>
          <w:kern w:val="2"/>
          <w:sz w:val="28"/>
          <w:szCs w:val="28"/>
          <w:lang w:val="da-DK"/>
          <w14:ligatures w14:val="standardContextual"/>
        </w:rPr>
        <w:t>và Chỉ thị của Bộ Chính trị về tiếp tục thực hiện việc học tập và làm theo tư tưởng, đạo đức, phong cách Hồ Chí Minh;</w:t>
      </w:r>
    </w:p>
    <w:p w14:paraId="2E3883EC" w14:textId="32A4CF7F" w:rsidR="006F1D4C" w:rsidRPr="0059286F" w:rsidRDefault="006F1D4C" w:rsidP="0059286F">
      <w:pPr>
        <w:pBdr>
          <w:top w:val="dotted" w:sz="4" w:space="0" w:color="FFFFFF"/>
          <w:left w:val="dotted" w:sz="4" w:space="0" w:color="FFFFFF"/>
          <w:bottom w:val="dotted" w:sz="4" w:space="1" w:color="FFFFFF"/>
          <w:right w:val="dotted" w:sz="4" w:space="0" w:color="FFFFFF"/>
        </w:pBdr>
        <w:shd w:val="clear" w:color="auto" w:fill="FFFFFF"/>
        <w:spacing w:before="120" w:after="0" w:line="252" w:lineRule="auto"/>
        <w:ind w:firstLine="567"/>
        <w:jc w:val="both"/>
        <w:rPr>
          <w:rFonts w:ascii="Times New Roman" w:eastAsia="Aptos" w:hAnsi="Times New Roman" w:cs="Times New Roman"/>
          <w:kern w:val="2"/>
          <w:sz w:val="28"/>
          <w:szCs w:val="28"/>
          <w:lang w:val="da-DK"/>
          <w14:ligatures w14:val="standardContextual"/>
        </w:rPr>
      </w:pPr>
      <w:r w:rsidRPr="0059286F">
        <w:rPr>
          <w:rFonts w:ascii="Times New Roman" w:eastAsia="Aptos" w:hAnsi="Times New Roman" w:cs="Times New Roman"/>
          <w:kern w:val="2"/>
          <w:sz w:val="28"/>
          <w:szCs w:val="28"/>
          <w:lang w:val="da-DK"/>
          <w14:ligatures w14:val="standardContextual"/>
        </w:rPr>
        <w:t xml:space="preserve">- Triển khai và thực hiện kịp thời các văn bản chỉ đạo của Ban </w:t>
      </w:r>
      <w:r w:rsidR="00C03453" w:rsidRPr="0059286F">
        <w:rPr>
          <w:rFonts w:ascii="Times New Roman" w:eastAsia="Aptos" w:hAnsi="Times New Roman" w:cs="Times New Roman"/>
          <w:kern w:val="2"/>
          <w:sz w:val="28"/>
          <w:szCs w:val="28"/>
          <w:lang w:val="da-DK"/>
          <w14:ligatures w14:val="standardContextual"/>
        </w:rPr>
        <w:t>C</w:t>
      </w:r>
      <w:r w:rsidRPr="0059286F">
        <w:rPr>
          <w:rFonts w:ascii="Times New Roman" w:eastAsia="Aptos" w:hAnsi="Times New Roman" w:cs="Times New Roman"/>
          <w:kern w:val="2"/>
          <w:sz w:val="28"/>
          <w:szCs w:val="28"/>
          <w:lang w:val="da-DK"/>
          <w14:ligatures w14:val="standardContextual"/>
        </w:rPr>
        <w:t>hỉ đạo Trung ương về PCTN như Q</w:t>
      </w:r>
      <w:r w:rsidRPr="0059286F">
        <w:rPr>
          <w:rFonts w:ascii="Times New Roman" w:eastAsia="Aptos" w:hAnsi="Times New Roman" w:cs="Times New Roman"/>
          <w:kern w:val="2"/>
          <w:sz w:val="28"/>
          <w:szCs w:val="28"/>
          <w:lang w:val="it-IT"/>
          <w14:ligatures w14:val="standardContextual"/>
        </w:rPr>
        <w:t xml:space="preserve">uy định số 131-QĐ/TW ngày 27/10/2023 của </w:t>
      </w:r>
      <w:r w:rsidR="0059286F" w:rsidRPr="0059286F">
        <w:rPr>
          <w:rFonts w:ascii="Times New Roman" w:eastAsia="Aptos" w:hAnsi="Times New Roman" w:cs="Times New Roman"/>
          <w:kern w:val="2"/>
          <w:sz w:val="28"/>
          <w:szCs w:val="28"/>
          <w:lang w:val="it-IT"/>
          <w14:ligatures w14:val="standardContextual"/>
        </w:rPr>
        <w:t>Ban Chấp hành Trung ương</w:t>
      </w:r>
      <w:r w:rsidRPr="0059286F">
        <w:rPr>
          <w:rFonts w:ascii="Times New Roman" w:eastAsia="Aptos" w:hAnsi="Times New Roman" w:cs="Times New Roman"/>
          <w:kern w:val="2"/>
          <w:sz w:val="28"/>
          <w:szCs w:val="28"/>
          <w:lang w:val="it-IT"/>
          <w14:ligatures w14:val="standardContextual"/>
        </w:rPr>
        <w:t xml:space="preserve"> về kiểm soát quyền lực, PCTN, tiêu cực trong công tác kiểm tra, giám sát, thi hành kỷ luật đảng và trong hoạt động thanh tra, kiểm toán; Quy định  số 132-QĐ/TW ngày 27/10/2023 của </w:t>
      </w:r>
      <w:r w:rsidR="0059286F" w:rsidRPr="0059286F">
        <w:rPr>
          <w:rFonts w:ascii="Times New Roman" w:eastAsia="Aptos" w:hAnsi="Times New Roman" w:cs="Times New Roman"/>
          <w:kern w:val="2"/>
          <w:sz w:val="28"/>
          <w:szCs w:val="28"/>
          <w:lang w:val="it-IT"/>
          <w14:ligatures w14:val="standardContextual"/>
        </w:rPr>
        <w:t>Ban Chấp hành Trung ương</w:t>
      </w:r>
      <w:r w:rsidRPr="0059286F">
        <w:rPr>
          <w:rFonts w:ascii="Times New Roman" w:eastAsia="Aptos" w:hAnsi="Times New Roman" w:cs="Times New Roman"/>
          <w:kern w:val="2"/>
          <w:sz w:val="28"/>
          <w:szCs w:val="28"/>
          <w:lang w:val="it-IT"/>
          <w14:ligatures w14:val="standardContextual"/>
        </w:rPr>
        <w:t xml:space="preserve"> về kiểm soát quyền lực, PCTN, tiêu cực trong hoạt động điều tra, truy tố, xét xử, thi hành án; Quy định 114-QĐ/TW, ngày 11/7/2023 của Bộ Chính trị về kiểm soát quyền lực và PCTN, tiêu cực trong công tác cán bộ</w:t>
      </w:r>
      <w:r w:rsidRPr="0059286F">
        <w:rPr>
          <w:rFonts w:ascii="Times New Roman" w:eastAsia="Aptos" w:hAnsi="Times New Roman" w:cs="Times New Roman"/>
          <w:spacing w:val="-4"/>
          <w:kern w:val="2"/>
          <w:sz w:val="28"/>
          <w:szCs w:val="28"/>
          <w:lang w:val="da-DK"/>
          <w14:ligatures w14:val="standardContextual"/>
        </w:rPr>
        <w:t>...</w:t>
      </w:r>
      <w:r w:rsidRPr="0059286F">
        <w:rPr>
          <w:rFonts w:ascii="Times New Roman" w:eastAsia="Aptos" w:hAnsi="Times New Roman" w:cs="Times New Roman"/>
          <w:kern w:val="2"/>
          <w:sz w:val="28"/>
          <w:szCs w:val="28"/>
          <w:lang w:val="it-IT"/>
          <w14:ligatures w14:val="standardContextual"/>
        </w:rPr>
        <w:t xml:space="preserve"> và </w:t>
      </w:r>
      <w:r w:rsidRPr="0059286F">
        <w:rPr>
          <w:rFonts w:ascii="Times New Roman" w:eastAsia="Aptos" w:hAnsi="Times New Roman" w:cs="Times New Roman"/>
          <w:kern w:val="2"/>
          <w:sz w:val="28"/>
          <w:szCs w:val="28"/>
          <w:lang w:val="da-DK"/>
          <w14:ligatures w14:val="standardContextual"/>
        </w:rPr>
        <w:t>các văn bản chỉ đạo của Ban Nội chính Trung ương, Thanh tra Chính phủ về công tác PCTN, LP, TC</w:t>
      </w:r>
      <w:r w:rsidRPr="0059286F">
        <w:rPr>
          <w:rFonts w:ascii="Times New Roman" w:eastAsia="Aptos" w:hAnsi="Times New Roman" w:cs="Times New Roman"/>
          <w:kern w:val="2"/>
          <w:sz w:val="28"/>
          <w:szCs w:val="28"/>
          <w:lang w:val="it-IT"/>
          <w14:ligatures w14:val="standardContextual"/>
        </w:rPr>
        <w:t xml:space="preserve"> đến toàn thể đảng viên, CBCNV, đặc biệt là các cán bộ quản lý, lãnh đạo tại cấp ủy, đơn vị</w:t>
      </w:r>
      <w:r w:rsidRPr="0059286F">
        <w:rPr>
          <w:rFonts w:ascii="Times New Roman" w:eastAsia="Aptos" w:hAnsi="Times New Roman" w:cs="Times New Roman"/>
          <w:kern w:val="2"/>
          <w:sz w:val="28"/>
          <w:szCs w:val="28"/>
          <w:lang w:val="da-DK"/>
          <w14:ligatures w14:val="standardContextual"/>
        </w:rPr>
        <w:t>. Đảng ủy Tập đoàn đã ban hành các văn bản triển khai Quy định số 287-QĐ/TW ngày 30/4/2025 của Bộ Chính trị về thu hồi tài sản do tham nhũng, lãng phí, tiêu  cực được phát hiện qua công tác kiểm tra, giám sát của Đảng; Hướng dẫn số 63-HD/BCĐTW về một số nội dung trọng tâm trong công tác phòng, chống lãng phí</w:t>
      </w:r>
      <w:r w:rsidRPr="0059286F">
        <w:rPr>
          <w:rFonts w:ascii="Times New Roman" w:eastAsia="Aptos" w:hAnsi="Times New Roman" w:cs="Times New Roman"/>
          <w:kern w:val="2"/>
          <w:sz w:val="28"/>
          <w:szCs w:val="28"/>
          <w:vertAlign w:val="superscript"/>
          <w14:ligatures w14:val="standardContextual"/>
        </w:rPr>
        <w:footnoteReference w:id="5"/>
      </w:r>
      <w:r w:rsidRPr="0059286F">
        <w:rPr>
          <w:rFonts w:ascii="Times New Roman" w:eastAsia="Aptos" w:hAnsi="Times New Roman" w:cs="Times New Roman"/>
          <w:kern w:val="2"/>
          <w:sz w:val="28"/>
          <w:szCs w:val="28"/>
          <w:lang w:val="da-DK"/>
          <w14:ligatures w14:val="standardContextual"/>
        </w:rPr>
        <w:t>.</w:t>
      </w:r>
    </w:p>
    <w:p w14:paraId="4929BF4A" w14:textId="41883896" w:rsidR="006F1D4C" w:rsidRPr="0059286F" w:rsidRDefault="00A47E63" w:rsidP="0059286F">
      <w:pPr>
        <w:pBdr>
          <w:top w:val="dotted" w:sz="4" w:space="0" w:color="FFFFFF"/>
          <w:left w:val="dotted" w:sz="4" w:space="0" w:color="FFFFFF"/>
          <w:bottom w:val="dotted" w:sz="4" w:space="1" w:color="FFFFFF"/>
          <w:right w:val="dotted" w:sz="4" w:space="0" w:color="FFFFFF"/>
        </w:pBdr>
        <w:shd w:val="clear" w:color="auto" w:fill="FFFFFF"/>
        <w:spacing w:before="120" w:after="0" w:line="252" w:lineRule="auto"/>
        <w:ind w:firstLine="567"/>
        <w:jc w:val="both"/>
        <w:rPr>
          <w:rFonts w:ascii="Times New Roman" w:eastAsia="Aptos" w:hAnsi="Times New Roman" w:cs="Times New Roman"/>
          <w:b/>
          <w:color w:val="000000"/>
          <w:kern w:val="2"/>
          <w:sz w:val="28"/>
          <w:szCs w:val="28"/>
          <w:lang w:val="pt-BR"/>
          <w14:ligatures w14:val="standardContextual"/>
        </w:rPr>
      </w:pPr>
      <w:r w:rsidRPr="0059286F">
        <w:rPr>
          <w:rFonts w:ascii="Times New Roman" w:eastAsia="Aptos" w:hAnsi="Times New Roman" w:cs="Times New Roman"/>
          <w:b/>
          <w:color w:val="000000"/>
          <w:spacing w:val="-4"/>
          <w:kern w:val="2"/>
          <w:sz w:val="28"/>
          <w:szCs w:val="28"/>
          <w:lang w:val="pt-BR"/>
          <w14:ligatures w14:val="standardContextual"/>
        </w:rPr>
        <w:t>5</w:t>
      </w:r>
      <w:r w:rsidR="006F1D4C" w:rsidRPr="0059286F">
        <w:rPr>
          <w:rFonts w:ascii="Times New Roman" w:eastAsia="Aptos" w:hAnsi="Times New Roman" w:cs="Times New Roman"/>
          <w:b/>
          <w:color w:val="000000"/>
          <w:spacing w:val="-4"/>
          <w:kern w:val="2"/>
          <w:sz w:val="28"/>
          <w:szCs w:val="28"/>
          <w:lang w:val="pt-BR"/>
          <w14:ligatures w14:val="standardContextual"/>
        </w:rPr>
        <w:t>. Kết quả thực hiện các giải pháp phòng ngừa tham</w:t>
      </w:r>
      <w:r w:rsidR="006F1D4C" w:rsidRPr="0059286F">
        <w:rPr>
          <w:rFonts w:ascii="Times New Roman" w:eastAsia="Aptos" w:hAnsi="Times New Roman" w:cs="Times New Roman"/>
          <w:b/>
          <w:color w:val="000000"/>
          <w:kern w:val="2"/>
          <w:sz w:val="28"/>
          <w:szCs w:val="28"/>
          <w:lang w:val="pt-BR"/>
          <w14:ligatures w14:val="standardContextual"/>
        </w:rPr>
        <w:t xml:space="preserve"> nhũng, lãng phí</w:t>
      </w:r>
    </w:p>
    <w:p w14:paraId="619C4974" w14:textId="77777777" w:rsidR="006F1D4C" w:rsidRPr="0059286F" w:rsidRDefault="006F1D4C" w:rsidP="0059286F">
      <w:pPr>
        <w:pBdr>
          <w:top w:val="dotted" w:sz="4" w:space="0" w:color="FFFFFF"/>
          <w:left w:val="dotted" w:sz="4" w:space="0" w:color="FFFFFF"/>
          <w:bottom w:val="dotted" w:sz="4" w:space="1" w:color="FFFFFF"/>
          <w:right w:val="dotted" w:sz="4" w:space="0" w:color="FFFFFF"/>
        </w:pBdr>
        <w:shd w:val="clear" w:color="auto" w:fill="FFFFFF"/>
        <w:spacing w:before="120" w:after="0" w:line="252" w:lineRule="auto"/>
        <w:ind w:firstLine="567"/>
        <w:jc w:val="both"/>
        <w:rPr>
          <w:rFonts w:ascii="Times New Roman" w:eastAsia="Aptos" w:hAnsi="Times New Roman" w:cs="Times New Roman"/>
          <w:b/>
          <w:color w:val="000000"/>
          <w:spacing w:val="-2"/>
          <w:kern w:val="2"/>
          <w:sz w:val="28"/>
          <w:szCs w:val="28"/>
          <w:lang w:val="pt-BR"/>
          <w14:ligatures w14:val="standardContextual"/>
        </w:rPr>
      </w:pPr>
      <w:r w:rsidRPr="0059286F">
        <w:rPr>
          <w:rFonts w:ascii="Times New Roman" w:eastAsia="Aptos" w:hAnsi="Times New Roman" w:cs="Times New Roman"/>
          <w:spacing w:val="-2"/>
          <w:kern w:val="2"/>
          <w:sz w:val="28"/>
          <w:szCs w:val="28"/>
          <w:lang w:val="it-IT"/>
          <w14:ligatures w14:val="standardContextual"/>
        </w:rPr>
        <w:t xml:space="preserve">- Năm 2025, UBKT Đảng ủy đã triển khai giám sát chuyên đề đối với 01 tổ chức đảng trực thuộc (Đảng ủy EVNGENCO1); Đảng ủy đã triển khai kiểm tra chuyên đề đối với 01 tổ chức đảng trực thuộc (Đảng ủy EVNGENCO2), có nội dung về công tác PCTN, tiêu cực; tiết kiệm, chống lãng phí và giải quyết đơn thư khiếu nại, tố cáo. </w:t>
      </w:r>
    </w:p>
    <w:p w14:paraId="43BAE399" w14:textId="21EFB22E" w:rsidR="006F1D4C" w:rsidRPr="0059286F" w:rsidRDefault="006F1D4C" w:rsidP="0059286F">
      <w:pPr>
        <w:pBdr>
          <w:top w:val="dotted" w:sz="4" w:space="0" w:color="FFFFFF"/>
          <w:left w:val="dotted" w:sz="4" w:space="0" w:color="FFFFFF"/>
          <w:bottom w:val="dotted" w:sz="4" w:space="1" w:color="FFFFFF"/>
          <w:right w:val="dotted" w:sz="4" w:space="0" w:color="FFFFFF"/>
        </w:pBdr>
        <w:shd w:val="clear" w:color="auto" w:fill="FFFFFF"/>
        <w:spacing w:before="120" w:after="0" w:line="252" w:lineRule="auto"/>
        <w:ind w:firstLine="567"/>
        <w:jc w:val="both"/>
        <w:rPr>
          <w:rFonts w:ascii="Times New Roman" w:eastAsia="Aptos" w:hAnsi="Times New Roman" w:cs="Times New Roman"/>
          <w:b/>
          <w:color w:val="000000"/>
          <w:kern w:val="2"/>
          <w:sz w:val="28"/>
          <w:szCs w:val="28"/>
          <w:lang w:val="pt-BR"/>
          <w14:ligatures w14:val="standardContextual"/>
        </w:rPr>
      </w:pPr>
      <w:r w:rsidRPr="0059286F">
        <w:rPr>
          <w:rFonts w:ascii="Times New Roman" w:eastAsia="Aptos" w:hAnsi="Times New Roman" w:cs="Times New Roman"/>
          <w:kern w:val="2"/>
          <w:sz w:val="28"/>
          <w:szCs w:val="28"/>
          <w:lang w:val="it-IT"/>
          <w14:ligatures w14:val="standardContextual"/>
        </w:rPr>
        <w:lastRenderedPageBreak/>
        <w:t>- Ban KTTT đã t</w:t>
      </w:r>
      <w:r w:rsidRPr="0059286F">
        <w:rPr>
          <w:rFonts w:ascii="Times New Roman" w:eastAsia="Aptos" w:hAnsi="Times New Roman" w:cs="Times New Roman"/>
          <w:kern w:val="2"/>
          <w:sz w:val="28"/>
          <w:szCs w:val="28"/>
          <w:lang w:val="pt-BR"/>
          <w14:ligatures w14:val="standardContextual"/>
        </w:rPr>
        <w:t xml:space="preserve">ham mưu xây dựng và trình Tổng giám đốc ban hành Kế hoạch </w:t>
      </w:r>
      <w:r w:rsidR="00E1217E" w:rsidRPr="0059286F">
        <w:rPr>
          <w:rFonts w:ascii="Times New Roman" w:eastAsia="Aptos" w:hAnsi="Times New Roman" w:cs="Times New Roman"/>
          <w:kern w:val="2"/>
          <w:sz w:val="28"/>
          <w:szCs w:val="28"/>
          <w:lang w:val="pt-BR"/>
          <w14:ligatures w14:val="standardContextual"/>
        </w:rPr>
        <w:t>c</w:t>
      </w:r>
      <w:r w:rsidRPr="0059286F">
        <w:rPr>
          <w:rFonts w:ascii="Times New Roman" w:eastAsia="Aptos" w:hAnsi="Times New Roman" w:cs="Times New Roman"/>
          <w:kern w:val="2"/>
          <w:sz w:val="28"/>
          <w:szCs w:val="28"/>
          <w:lang w:val="pt-BR"/>
          <w14:ligatures w14:val="standardContextual"/>
        </w:rPr>
        <w:t>ông tác Kiểm tra, thanh tra; Xử lý, giải quyết khiếu nại, tố cáo; Công tác Bảo vệ và Quốc phòng năm 2025 của EVN tại Kế hoạch số 7291/KH-EVN ngày 17/12/2024 và tổ chức thực hiện cơ bản hoàn thành theo Kế hoạch, cụ thể: Đã tổ chức kiểm tra tại Tổng công ty Điện lực miền Trung, Tổng công ty Phát điện 1</w:t>
      </w:r>
      <w:r w:rsidRPr="0059286F">
        <w:rPr>
          <w:rFonts w:ascii="Times New Roman" w:eastAsia="Aptos" w:hAnsi="Times New Roman" w:cs="Times New Roman"/>
          <w:kern w:val="2"/>
          <w:sz w:val="28"/>
          <w:szCs w:val="28"/>
          <w:vertAlign w:val="superscript"/>
          <w14:ligatures w14:val="standardContextual"/>
        </w:rPr>
        <w:footnoteReference w:id="6"/>
      </w:r>
      <w:r w:rsidRPr="0059286F">
        <w:rPr>
          <w:rFonts w:ascii="Times New Roman" w:eastAsia="Aptos" w:hAnsi="Times New Roman" w:cs="Times New Roman"/>
          <w:kern w:val="2"/>
          <w:sz w:val="28"/>
          <w:szCs w:val="28"/>
          <w:lang w:val="pt-BR"/>
          <w14:ligatures w14:val="standardContextual"/>
        </w:rPr>
        <w:t>, Tổng công ty Điện lực miền Nam</w:t>
      </w:r>
      <w:r w:rsidRPr="0059286F">
        <w:rPr>
          <w:rFonts w:ascii="Times New Roman" w:eastAsia="Aptos" w:hAnsi="Times New Roman" w:cs="Times New Roman"/>
          <w:kern w:val="2"/>
          <w:sz w:val="28"/>
          <w:szCs w:val="28"/>
          <w:vertAlign w:val="superscript"/>
          <w14:ligatures w14:val="standardContextual"/>
        </w:rPr>
        <w:footnoteReference w:id="7"/>
      </w:r>
      <w:r w:rsidRPr="0059286F">
        <w:rPr>
          <w:rFonts w:ascii="Times New Roman" w:eastAsia="Aptos" w:hAnsi="Times New Roman" w:cs="Times New Roman"/>
          <w:kern w:val="2"/>
          <w:sz w:val="28"/>
          <w:szCs w:val="28"/>
          <w:lang w:val="pt-BR"/>
          <w14:ligatures w14:val="standardContextual"/>
        </w:rPr>
        <w:t xml:space="preserve"> và một số đơn vị trực thuộc (Ban QLDA Điện 2 đang thực hiện, dự kiến hoàn thành trong tháng 1/2026). Sau kiểm tra, Ban KTTT đã tham mưu cho Lãnh đạo Tập đoàn có văn bản chỉ đạo chấn chỉnh, khắc phục các tồn tại, hạn chế đã được Đoàn kiểm tra chỉ ra.</w:t>
      </w:r>
    </w:p>
    <w:p w14:paraId="73BA331B" w14:textId="03934078" w:rsidR="006F1D4C" w:rsidRPr="0059286F" w:rsidRDefault="006F1D4C" w:rsidP="0059286F">
      <w:pPr>
        <w:pBdr>
          <w:top w:val="dotted" w:sz="4" w:space="0" w:color="FFFFFF"/>
          <w:left w:val="dotted" w:sz="4" w:space="0" w:color="FFFFFF"/>
          <w:bottom w:val="dotted" w:sz="4" w:space="1" w:color="FFFFFF"/>
          <w:right w:val="dotted" w:sz="4" w:space="0" w:color="FFFFFF"/>
        </w:pBdr>
        <w:shd w:val="clear" w:color="auto" w:fill="FFFFFF"/>
        <w:spacing w:before="120" w:after="0" w:line="252" w:lineRule="auto"/>
        <w:ind w:firstLine="567"/>
        <w:jc w:val="both"/>
        <w:rPr>
          <w:rFonts w:ascii="Times New Roman" w:eastAsia="Aptos" w:hAnsi="Times New Roman" w:cs="Times New Roman"/>
          <w:kern w:val="2"/>
          <w:sz w:val="28"/>
          <w:szCs w:val="28"/>
          <w:lang w:val="pt-BR"/>
          <w14:ligatures w14:val="standardContextual"/>
        </w:rPr>
      </w:pPr>
      <w:r w:rsidRPr="0059286F">
        <w:rPr>
          <w:rFonts w:ascii="Times New Roman" w:eastAsia="Aptos" w:hAnsi="Times New Roman" w:cs="Times New Roman"/>
          <w:kern w:val="2"/>
          <w:sz w:val="28"/>
          <w:szCs w:val="28"/>
          <w:lang w:val="pt-BR"/>
          <w14:ligatures w14:val="standardContextual"/>
        </w:rPr>
        <w:t>- Đảng ủy đã chỉ đạo Tập đoàn duy trì thường xuyên việc thực hiện các quy định về công khai, minh bạch trong hoạt động của các cơ quan, tổ chức, đơn vị</w:t>
      </w:r>
      <w:r w:rsidR="00712F20" w:rsidRPr="0059286F">
        <w:rPr>
          <w:rFonts w:ascii="Times New Roman" w:eastAsia="Aptos" w:hAnsi="Times New Roman" w:cs="Times New Roman"/>
          <w:kern w:val="2"/>
          <w:sz w:val="28"/>
          <w:szCs w:val="28"/>
          <w:lang w:val="pt-BR"/>
          <w14:ligatures w14:val="standardContextual"/>
        </w:rPr>
        <w:t>.</w:t>
      </w:r>
      <w:r w:rsidRPr="0059286F">
        <w:rPr>
          <w:rFonts w:ascii="Times New Roman" w:eastAsia="Aptos" w:hAnsi="Times New Roman" w:cs="Times New Roman"/>
          <w:kern w:val="2"/>
          <w:sz w:val="28"/>
          <w:szCs w:val="28"/>
          <w:lang w:val="pt-BR"/>
          <w14:ligatures w14:val="standardContextual"/>
        </w:rPr>
        <w:t xml:space="preserve"> Các đơn vị trong toàn Tập đoàn đã thực hiện các quy định về công khai, minh bạch trong hoạt động của mỗi đơn vị cho CBCNV và khách hàng biết và thực hiện.</w:t>
      </w:r>
    </w:p>
    <w:p w14:paraId="49477A6F" w14:textId="431CE015" w:rsidR="006F1D4C" w:rsidRPr="0059286F" w:rsidRDefault="006F1D4C" w:rsidP="0059286F">
      <w:pPr>
        <w:pBdr>
          <w:top w:val="dotted" w:sz="4" w:space="0" w:color="FFFFFF"/>
          <w:left w:val="dotted" w:sz="4" w:space="0" w:color="FFFFFF"/>
          <w:bottom w:val="dotted" w:sz="4" w:space="1" w:color="FFFFFF"/>
          <w:right w:val="dotted" w:sz="4" w:space="0" w:color="FFFFFF"/>
        </w:pBdr>
        <w:shd w:val="clear" w:color="auto" w:fill="FFFFFF"/>
        <w:spacing w:before="120" w:after="0" w:line="252" w:lineRule="auto"/>
        <w:ind w:firstLine="567"/>
        <w:jc w:val="both"/>
        <w:rPr>
          <w:rFonts w:ascii="Times New Roman" w:eastAsia="Aptos" w:hAnsi="Times New Roman" w:cs="Times New Roman"/>
          <w:spacing w:val="-2"/>
          <w:kern w:val="2"/>
          <w:sz w:val="28"/>
          <w:szCs w:val="28"/>
          <w:lang w:val="pt-BR"/>
          <w14:ligatures w14:val="standardContextual"/>
        </w:rPr>
      </w:pPr>
      <w:r w:rsidRPr="0059286F">
        <w:rPr>
          <w:rFonts w:ascii="Times New Roman" w:eastAsia="Aptos" w:hAnsi="Times New Roman" w:cs="Times New Roman"/>
          <w:spacing w:val="-2"/>
          <w:kern w:val="2"/>
          <w:sz w:val="28"/>
          <w:szCs w:val="28"/>
          <w:lang w:val="pt-BR"/>
          <w14:ligatures w14:val="standardContextual"/>
        </w:rPr>
        <w:t xml:space="preserve">- Việc thực hiện các quy định về minh bạch tài sản và thu nhập: </w:t>
      </w:r>
      <w:r w:rsidR="00995D95" w:rsidRPr="0059286F">
        <w:rPr>
          <w:rFonts w:ascii="Times New Roman" w:eastAsia="Aptos" w:hAnsi="Times New Roman" w:cs="Times New Roman"/>
          <w:spacing w:val="-2"/>
          <w:kern w:val="2"/>
          <w:sz w:val="28"/>
          <w:szCs w:val="28"/>
          <w:lang w:val="pt-BR"/>
          <w14:ligatures w14:val="standardContextual"/>
        </w:rPr>
        <w:t>t</w:t>
      </w:r>
      <w:r w:rsidRPr="0059286F">
        <w:rPr>
          <w:rFonts w:ascii="Times New Roman" w:eastAsia="Aptos" w:hAnsi="Times New Roman" w:cs="Times New Roman"/>
          <w:spacing w:val="-2"/>
          <w:kern w:val="2"/>
          <w:sz w:val="28"/>
          <w:szCs w:val="28"/>
          <w:lang w:val="pt-BR"/>
          <w14:ligatures w14:val="standardContextual"/>
        </w:rPr>
        <w:t>hực hiện Nghị định số 130/2020/NĐ-CP ngày 30/10/2020 của Chính phủ về kiểm soát tài sản, thu nhập của người có chức vụ, quyền hạn trong cơ quan, tổ chức đơn vị, EVN đã triển khai đến các đơn vị trực thuộc theo Văn bản số 7562/EVN-TCNS, ngày 27/11/2025 về việc thực hiện công tác kê khai và công khai tài sản, thu nhập năm 2025.</w:t>
      </w:r>
    </w:p>
    <w:p w14:paraId="5630D641" w14:textId="7CBB7897" w:rsidR="006F1D4C" w:rsidRPr="0059286F" w:rsidRDefault="006F1D4C" w:rsidP="0059286F">
      <w:pPr>
        <w:pBdr>
          <w:top w:val="dotted" w:sz="4" w:space="0" w:color="FFFFFF"/>
          <w:left w:val="dotted" w:sz="4" w:space="0" w:color="FFFFFF"/>
          <w:bottom w:val="dotted" w:sz="4" w:space="1" w:color="FFFFFF"/>
          <w:right w:val="dotted" w:sz="4" w:space="0" w:color="FFFFFF"/>
        </w:pBdr>
        <w:shd w:val="clear" w:color="auto" w:fill="FFFFFF"/>
        <w:spacing w:before="120" w:after="0" w:line="252" w:lineRule="auto"/>
        <w:ind w:firstLine="567"/>
        <w:jc w:val="both"/>
        <w:rPr>
          <w:rFonts w:ascii="Times New Roman" w:eastAsia="Aptos" w:hAnsi="Times New Roman" w:cs="Times New Roman"/>
          <w:spacing w:val="4"/>
          <w:kern w:val="2"/>
          <w:sz w:val="28"/>
          <w:szCs w:val="28"/>
          <w:lang w:val="pt-BR"/>
          <w14:ligatures w14:val="standardContextual"/>
        </w:rPr>
      </w:pPr>
      <w:r w:rsidRPr="0059286F">
        <w:rPr>
          <w:rFonts w:ascii="Times New Roman" w:eastAsia="Aptos" w:hAnsi="Times New Roman" w:cs="Times New Roman"/>
          <w:bCs/>
          <w:kern w:val="2"/>
          <w:sz w:val="28"/>
          <w:szCs w:val="28"/>
          <w:lang w:val="pt-BR"/>
          <w14:ligatures w14:val="standardContextual"/>
        </w:rPr>
        <w:t>- Đã thực hiện kiểm tra/rà soát việc thực hiện quy tắc ứng xử đối với người có chức vụ quyền hạn và rà soát xung đột lợi ích theo quy định của Luật P</w:t>
      </w:r>
      <w:r w:rsidR="00092300" w:rsidRPr="0059286F">
        <w:rPr>
          <w:rFonts w:ascii="Times New Roman" w:eastAsia="Aptos" w:hAnsi="Times New Roman" w:cs="Times New Roman"/>
          <w:bCs/>
          <w:kern w:val="2"/>
          <w:sz w:val="28"/>
          <w:szCs w:val="28"/>
          <w:lang w:val="pt-BR"/>
          <w14:ligatures w14:val="standardContextual"/>
        </w:rPr>
        <w:t>CTN</w:t>
      </w:r>
      <w:r w:rsidRPr="0059286F">
        <w:rPr>
          <w:rFonts w:ascii="Times New Roman" w:eastAsia="Aptos" w:hAnsi="Times New Roman" w:cs="Times New Roman"/>
          <w:bCs/>
          <w:kern w:val="2"/>
          <w:sz w:val="28"/>
          <w:szCs w:val="28"/>
          <w:lang w:val="pt-BR"/>
          <w14:ligatures w14:val="standardContextual"/>
        </w:rPr>
        <w:t>. Rà soát v</w:t>
      </w:r>
      <w:r w:rsidRPr="0059286F">
        <w:rPr>
          <w:rFonts w:ascii="Times New Roman" w:eastAsia="Aptos" w:hAnsi="Times New Roman" w:cs="Times New Roman"/>
          <w:bCs/>
          <w:kern w:val="2"/>
          <w:sz w:val="28"/>
          <w:szCs w:val="28"/>
          <w:lang w:val="vi-VN"/>
          <w14:ligatures w14:val="standardContextual"/>
        </w:rPr>
        <w:t>iệc thực hiện Quy định 114-QĐ/TW, ngày 11/7/2023 về kiểm soát quyền lực và phòng chống tham nhũng, tiêu cực trong công tác cán bộ</w:t>
      </w:r>
      <w:r w:rsidR="000A2B6D" w:rsidRPr="0059286F">
        <w:rPr>
          <w:rFonts w:ascii="Times New Roman" w:eastAsia="Aptos" w:hAnsi="Times New Roman" w:cs="Times New Roman"/>
          <w:bCs/>
          <w:kern w:val="2"/>
          <w:sz w:val="28"/>
          <w:szCs w:val="28"/>
          <w:lang w:val="pt-BR"/>
          <w14:ligatures w14:val="standardContextual"/>
        </w:rPr>
        <w:t>.</w:t>
      </w:r>
    </w:p>
    <w:p w14:paraId="2A9864F7" w14:textId="77777777" w:rsidR="006F1D4C" w:rsidRPr="0059286F" w:rsidRDefault="006F1D4C" w:rsidP="0059286F">
      <w:pPr>
        <w:pBdr>
          <w:top w:val="dotted" w:sz="4" w:space="0" w:color="FFFFFF"/>
          <w:left w:val="dotted" w:sz="4" w:space="0" w:color="FFFFFF"/>
          <w:bottom w:val="dotted" w:sz="4" w:space="1" w:color="FFFFFF"/>
          <w:right w:val="dotted" w:sz="4" w:space="0" w:color="FFFFFF"/>
        </w:pBdr>
        <w:shd w:val="clear" w:color="auto" w:fill="FFFFFF"/>
        <w:spacing w:before="120" w:after="0" w:line="252" w:lineRule="auto"/>
        <w:ind w:firstLine="567"/>
        <w:jc w:val="both"/>
        <w:rPr>
          <w:rFonts w:ascii="Times New Roman" w:eastAsia="Aptos" w:hAnsi="Times New Roman" w:cs="Times New Roman"/>
          <w:spacing w:val="-4"/>
          <w:kern w:val="2"/>
          <w:sz w:val="28"/>
          <w:szCs w:val="28"/>
          <w:lang w:val="pt-BR"/>
          <w14:ligatures w14:val="standardContextual"/>
        </w:rPr>
      </w:pPr>
      <w:r w:rsidRPr="0059286F">
        <w:rPr>
          <w:rFonts w:ascii="Times New Roman" w:eastAsia="Aptos" w:hAnsi="Times New Roman" w:cs="Times New Roman"/>
          <w:spacing w:val="-4"/>
          <w:kern w:val="2"/>
          <w:sz w:val="28"/>
          <w:szCs w:val="28"/>
          <w:lang w:val="pt-BR"/>
          <w14:ligatures w14:val="standardContextual"/>
        </w:rPr>
        <w:t>- Việc xây dựng, thực hiện quy tắc ứng xử của cán bộ, công chức, viên chức: Thực hiện niêm yết quy tắc ứng xử của cán bộ công chức tại nơi làm việc; Thời gian qua, không có phản ánh về việc cán bộ thuộc Cơ quan Tập đoàn và đơn vị thành viên có thái độ xử sự không đúng mực với các cơ quan, đơn vị, công dân đến liên hệ công tác.</w:t>
      </w:r>
    </w:p>
    <w:p w14:paraId="33661A0B" w14:textId="77777777" w:rsidR="006F1D4C" w:rsidRPr="0059286F" w:rsidRDefault="006F1D4C" w:rsidP="0059286F">
      <w:pPr>
        <w:pBdr>
          <w:top w:val="dotted" w:sz="4" w:space="0" w:color="FFFFFF"/>
          <w:left w:val="dotted" w:sz="4" w:space="0" w:color="FFFFFF"/>
          <w:bottom w:val="dotted" w:sz="4" w:space="1" w:color="FFFFFF"/>
          <w:right w:val="dotted" w:sz="4" w:space="0" w:color="FFFFFF"/>
        </w:pBdr>
        <w:shd w:val="clear" w:color="auto" w:fill="FFFFFF"/>
        <w:spacing w:before="120" w:after="0" w:line="252" w:lineRule="auto"/>
        <w:ind w:firstLine="567"/>
        <w:jc w:val="both"/>
        <w:rPr>
          <w:rFonts w:ascii="Times New Roman" w:eastAsia="Aptos" w:hAnsi="Times New Roman" w:cs="Times New Roman"/>
          <w:kern w:val="2"/>
          <w:sz w:val="28"/>
          <w:szCs w:val="28"/>
          <w:lang w:val="pt-BR"/>
          <w14:ligatures w14:val="standardContextual"/>
        </w:rPr>
      </w:pPr>
      <w:r w:rsidRPr="0059286F">
        <w:rPr>
          <w:rFonts w:ascii="Times New Roman" w:eastAsia="Aptos" w:hAnsi="Times New Roman" w:cs="Times New Roman"/>
          <w:kern w:val="2"/>
          <w:sz w:val="28"/>
          <w:szCs w:val="28"/>
          <w:lang w:val="pt-BR"/>
          <w14:ligatures w14:val="standardContextual"/>
        </w:rPr>
        <w:t>- Xử lý trách nhiệm của người đứng đầu khi để xảy ra tham nhũng trong cơ quan, tổ chức, đơn vị do mình quản lý, phụ trách: trong năm, Đảng ủy Tập đoàn đã phối hợp và xem xét, thi hành kỷ luật theo thẩm quyền các trường hợp cán bộ, đảng viên phải xử lý trách nhiệm khi để xảy ra tham nhũng, tiêu cực.</w:t>
      </w:r>
    </w:p>
    <w:p w14:paraId="6F01E851" w14:textId="46B77C83" w:rsidR="006F1D4C" w:rsidRPr="0059286F" w:rsidRDefault="006F1D4C" w:rsidP="0059286F">
      <w:pPr>
        <w:pBdr>
          <w:top w:val="dotted" w:sz="4" w:space="0" w:color="FFFFFF"/>
          <w:left w:val="dotted" w:sz="4" w:space="0" w:color="FFFFFF"/>
          <w:bottom w:val="dotted" w:sz="4" w:space="1" w:color="FFFFFF"/>
          <w:right w:val="dotted" w:sz="4" w:space="0" w:color="FFFFFF"/>
        </w:pBdr>
        <w:shd w:val="clear" w:color="auto" w:fill="FFFFFF"/>
        <w:spacing w:before="120" w:after="0" w:line="252" w:lineRule="auto"/>
        <w:ind w:firstLine="567"/>
        <w:jc w:val="both"/>
        <w:rPr>
          <w:rFonts w:ascii="Times New Roman" w:eastAsia="Aptos" w:hAnsi="Times New Roman" w:cs="Times New Roman"/>
          <w:spacing w:val="-2"/>
          <w:kern w:val="2"/>
          <w:sz w:val="28"/>
          <w:szCs w:val="28"/>
          <w:lang w:val="nl-NL"/>
          <w14:ligatures w14:val="standardContextual"/>
        </w:rPr>
      </w:pPr>
      <w:r w:rsidRPr="0059286F">
        <w:rPr>
          <w:rFonts w:ascii="Times New Roman" w:eastAsia="Aptos" w:hAnsi="Times New Roman" w:cs="Times New Roman"/>
          <w:spacing w:val="-2"/>
          <w:kern w:val="2"/>
          <w:sz w:val="28"/>
          <w:szCs w:val="28"/>
          <w:lang w:val="pt-BR"/>
          <w14:ligatures w14:val="standardContextual"/>
        </w:rPr>
        <w:t xml:space="preserve">- Cải cách hành chính, đổi mới công nghệ trong quản lý: EVN đã ban hành </w:t>
      </w:r>
      <w:r w:rsidRPr="0059286F">
        <w:rPr>
          <w:rFonts w:ascii="Times New Roman" w:eastAsia="Aptos" w:hAnsi="Times New Roman" w:cs="Times New Roman"/>
          <w:spacing w:val="-2"/>
          <w:kern w:val="2"/>
          <w:sz w:val="28"/>
          <w:szCs w:val="28"/>
          <w:lang w:val="nl-NL"/>
          <w14:ligatures w14:val="standardContextual"/>
        </w:rPr>
        <w:t xml:space="preserve">Quyết định số 204/QĐ-EVN, ngày 07/02/2025 phê duyệt Kế hoạch cải cách hành chính của Cơ quan </w:t>
      </w:r>
      <w:r w:rsidR="00241477" w:rsidRPr="0059286F">
        <w:rPr>
          <w:rFonts w:ascii="Times New Roman" w:eastAsia="Aptos" w:hAnsi="Times New Roman" w:cs="Times New Roman"/>
          <w:spacing w:val="-2"/>
          <w:kern w:val="2"/>
          <w:sz w:val="28"/>
          <w:szCs w:val="28"/>
          <w:lang w:val="nl-NL"/>
          <w14:ligatures w14:val="standardContextual"/>
        </w:rPr>
        <w:t>EVN</w:t>
      </w:r>
      <w:r w:rsidRPr="0059286F">
        <w:rPr>
          <w:rFonts w:ascii="Times New Roman" w:eastAsia="Aptos" w:hAnsi="Times New Roman" w:cs="Times New Roman"/>
          <w:spacing w:val="-2"/>
          <w:kern w:val="2"/>
          <w:sz w:val="28"/>
          <w:szCs w:val="28"/>
          <w:lang w:val="nl-NL"/>
          <w14:ligatures w14:val="standardContextual"/>
        </w:rPr>
        <w:t xml:space="preserve">. Các đơn vị cũng đã xây dựng kế hoạch CCHC, triển khai thực hiện kế hoạch đề ra và báo cáo EVN tình hình thực hiện theo yêu cầu. Công tác CCHC trong EVN bao gồm công tác hoàn thiện thể chế, quản trị, tái cơ cấu doanh nghiệp, công tác đào tạo phát triển nguồn nhân lực; công tác chuyển đổi số (CĐS); công tác cải cách </w:t>
      </w:r>
      <w:r w:rsidRPr="0059286F">
        <w:rPr>
          <w:rFonts w:ascii="Times New Roman" w:eastAsia="Aptos" w:hAnsi="Times New Roman" w:cs="Times New Roman"/>
          <w:spacing w:val="-2"/>
          <w:kern w:val="2"/>
          <w:sz w:val="28"/>
          <w:szCs w:val="28"/>
          <w:lang w:val="nl-NL"/>
          <w14:ligatures w14:val="standardContextual"/>
        </w:rPr>
        <w:lastRenderedPageBreak/>
        <w:t>thủ tục hành chính; công tác dịch vụ khách hàng và công tác thực hành tiết kiệm, tiết giảm chi phí quản lý. Đối với từng thời điểm, EVN tập trung nguồn lực đẩy mạnh thực hiện từng công tác, trong đó đưa ra các mốc thời hạn, đơn vị chủ trì để hoàn thành 20 nội dung công việc chính.</w:t>
      </w:r>
    </w:p>
    <w:p w14:paraId="373A60D7" w14:textId="67C7CB6A" w:rsidR="006F1D4C" w:rsidRPr="0059286F" w:rsidRDefault="006F1D4C" w:rsidP="0059286F">
      <w:pPr>
        <w:pBdr>
          <w:top w:val="dotted" w:sz="4" w:space="0" w:color="FFFFFF"/>
          <w:left w:val="dotted" w:sz="4" w:space="0" w:color="FFFFFF"/>
          <w:bottom w:val="dotted" w:sz="4" w:space="1" w:color="FFFFFF"/>
          <w:right w:val="dotted" w:sz="4" w:space="0" w:color="FFFFFF"/>
        </w:pBdr>
        <w:shd w:val="clear" w:color="auto" w:fill="FFFFFF"/>
        <w:spacing w:before="120" w:after="0" w:line="252" w:lineRule="auto"/>
        <w:ind w:firstLine="567"/>
        <w:jc w:val="both"/>
        <w:rPr>
          <w:rFonts w:ascii="Times New Roman" w:eastAsia="Aptos" w:hAnsi="Times New Roman" w:cs="Times New Roman"/>
          <w:b/>
          <w:color w:val="000000"/>
          <w:kern w:val="2"/>
          <w:sz w:val="28"/>
          <w:szCs w:val="28"/>
          <w:lang w:val="nl-NL"/>
          <w14:ligatures w14:val="standardContextual"/>
        </w:rPr>
      </w:pPr>
      <w:r w:rsidRPr="0059286F">
        <w:rPr>
          <w:rFonts w:ascii="Times New Roman" w:eastAsia="Aptos" w:hAnsi="Times New Roman" w:cs="Times New Roman"/>
          <w:b/>
          <w:color w:val="000000"/>
          <w:kern w:val="2"/>
          <w:sz w:val="28"/>
          <w:szCs w:val="28"/>
          <w:lang w:val="nl-NL"/>
          <w14:ligatures w14:val="standardContextual"/>
        </w:rPr>
        <w:t>II. C</w:t>
      </w:r>
      <w:r w:rsidR="003A40D4" w:rsidRPr="0059286F">
        <w:rPr>
          <w:rFonts w:ascii="Times New Roman" w:eastAsia="Aptos" w:hAnsi="Times New Roman" w:cs="Times New Roman"/>
          <w:b/>
          <w:color w:val="000000"/>
          <w:kern w:val="2"/>
          <w:sz w:val="28"/>
          <w:szCs w:val="28"/>
          <w:lang w:val="nl-NL"/>
          <w14:ligatures w14:val="standardContextual"/>
        </w:rPr>
        <w:t xml:space="preserve">ÁC GIẢI PHÁP ĐẨY MẠNH CÔNG TÁC </w:t>
      </w:r>
      <w:r w:rsidRPr="0059286F">
        <w:rPr>
          <w:rFonts w:ascii="Times New Roman" w:eastAsia="Aptos" w:hAnsi="Times New Roman" w:cs="Times New Roman"/>
          <w:b/>
          <w:color w:val="000000"/>
          <w:kern w:val="2"/>
          <w:sz w:val="28"/>
          <w:szCs w:val="28"/>
          <w:lang w:val="nl-NL"/>
          <w14:ligatures w14:val="standardContextual"/>
        </w:rPr>
        <w:t>PCTN, LP, TC</w:t>
      </w:r>
    </w:p>
    <w:p w14:paraId="55A1E3DB" w14:textId="76D384DC" w:rsidR="006F1D4C" w:rsidRPr="0059286F" w:rsidRDefault="006F1D4C" w:rsidP="0059286F">
      <w:pPr>
        <w:pBdr>
          <w:top w:val="dotted" w:sz="4" w:space="0" w:color="FFFFFF"/>
          <w:left w:val="dotted" w:sz="4" w:space="0" w:color="FFFFFF"/>
          <w:bottom w:val="dotted" w:sz="4" w:space="1" w:color="FFFFFF"/>
          <w:right w:val="dotted" w:sz="4" w:space="0" w:color="FFFFFF"/>
        </w:pBdr>
        <w:shd w:val="clear" w:color="auto" w:fill="FFFFFF"/>
        <w:spacing w:before="120" w:after="0" w:line="252" w:lineRule="auto"/>
        <w:ind w:firstLine="567"/>
        <w:jc w:val="both"/>
        <w:rPr>
          <w:rFonts w:ascii="Times New Roman" w:eastAsia="Aptos" w:hAnsi="Times New Roman" w:cs="Times New Roman"/>
          <w:b/>
          <w:iCs/>
          <w:color w:val="000000"/>
          <w:kern w:val="2"/>
          <w:sz w:val="28"/>
          <w:szCs w:val="28"/>
          <w:lang w:val="nl-NL"/>
          <w14:ligatures w14:val="standardContextual"/>
        </w:rPr>
      </w:pPr>
      <w:r w:rsidRPr="0059286F">
        <w:rPr>
          <w:rFonts w:ascii="Times New Roman" w:eastAsia="Times New Roman" w:hAnsi="Times New Roman" w:cs="Times New Roman"/>
          <w:b/>
          <w:iCs/>
          <w:color w:val="000000"/>
          <w:spacing w:val="-6"/>
          <w:sz w:val="28"/>
          <w:szCs w:val="28"/>
          <w:lang w:val="da-DK"/>
        </w:rPr>
        <w:t>1.</w:t>
      </w:r>
      <w:r w:rsidR="003A40D4" w:rsidRPr="0059286F">
        <w:rPr>
          <w:rFonts w:ascii="Times New Roman" w:eastAsia="Times New Roman" w:hAnsi="Times New Roman" w:cs="Times New Roman"/>
          <w:b/>
          <w:iCs/>
          <w:color w:val="000000"/>
          <w:spacing w:val="-6"/>
          <w:sz w:val="28"/>
          <w:szCs w:val="28"/>
          <w:lang w:val="da-DK"/>
        </w:rPr>
        <w:t xml:space="preserve"> </w:t>
      </w:r>
      <w:r w:rsidRPr="0059286F">
        <w:rPr>
          <w:rFonts w:ascii="Times New Roman" w:eastAsia="Times New Roman" w:hAnsi="Times New Roman" w:cs="Times New Roman"/>
          <w:b/>
          <w:iCs/>
          <w:color w:val="000000"/>
          <w:spacing w:val="-6"/>
          <w:sz w:val="28"/>
          <w:szCs w:val="28"/>
          <w:lang w:val="da-DK"/>
        </w:rPr>
        <w:t>Nâng cao</w:t>
      </w:r>
      <w:r w:rsidRPr="0059286F">
        <w:rPr>
          <w:rFonts w:ascii="Times New Roman" w:eastAsia="Times New Roman" w:hAnsi="Times New Roman" w:cs="Times New Roman"/>
          <w:b/>
          <w:iCs/>
          <w:spacing w:val="-6"/>
          <w:sz w:val="28"/>
          <w:szCs w:val="28"/>
          <w:lang w:val="da-DK"/>
        </w:rPr>
        <w:t xml:space="preserve"> nhận thức, phát huy vai trò và trách nhiệm của các tổ chức đoàn thể trong Tập đoàn về PCTN, LP, TC</w:t>
      </w:r>
    </w:p>
    <w:p w14:paraId="3EAF3AE6" w14:textId="2B9CE695" w:rsidR="006F1D4C" w:rsidRPr="0059286F" w:rsidRDefault="006F1D4C" w:rsidP="0059286F">
      <w:pPr>
        <w:pBdr>
          <w:top w:val="dotted" w:sz="4" w:space="0" w:color="FFFFFF"/>
          <w:left w:val="dotted" w:sz="4" w:space="0" w:color="FFFFFF"/>
          <w:bottom w:val="dotted" w:sz="4" w:space="1" w:color="FFFFFF"/>
          <w:right w:val="dotted" w:sz="4" w:space="0" w:color="FFFFFF"/>
        </w:pBdr>
        <w:shd w:val="clear" w:color="auto" w:fill="FFFFFF"/>
        <w:spacing w:before="120" w:after="0" w:line="252" w:lineRule="auto"/>
        <w:ind w:firstLine="567"/>
        <w:jc w:val="both"/>
        <w:rPr>
          <w:rFonts w:ascii="Times New Roman" w:eastAsia="Aptos" w:hAnsi="Times New Roman" w:cs="Times New Roman"/>
          <w:b/>
          <w:color w:val="000000"/>
          <w:kern w:val="2"/>
          <w:sz w:val="28"/>
          <w:szCs w:val="28"/>
          <w:lang w:val="nl-NL"/>
          <w14:ligatures w14:val="standardContextual"/>
        </w:rPr>
      </w:pPr>
      <w:r w:rsidRPr="0059286F">
        <w:rPr>
          <w:rFonts w:ascii="Times New Roman" w:eastAsia="SimSun" w:hAnsi="Times New Roman" w:cs="Times New Roman"/>
          <w:spacing w:val="-2"/>
          <w:sz w:val="28"/>
          <w:szCs w:val="28"/>
          <w:lang w:val="nl-NL" w:eastAsia="zh-CN"/>
        </w:rPr>
        <w:t xml:space="preserve">- Tập đoàn và các Đơn vị đẩy mạnh công tác quán triệt, phổ biến, tuyên truyền Luật Phòng, chống tham nhũng và các văn bản hướng dẫn thi hành; các văn bản của Trung ương, </w:t>
      </w:r>
      <w:r w:rsidRPr="0059286F">
        <w:rPr>
          <w:rFonts w:ascii="Times New Roman" w:eastAsia="Times New Roman" w:hAnsi="Times New Roman" w:cs="Times New Roman"/>
          <w:sz w:val="28"/>
          <w:szCs w:val="28"/>
          <w:lang w:val="da-DK"/>
        </w:rPr>
        <w:t>các Nghị quyết, Kết luận của Đảng, chính sách pháp luật của Nhà nước về PCTN, LP, TC</w:t>
      </w:r>
      <w:r w:rsidR="00E30B41" w:rsidRPr="0059286F">
        <w:rPr>
          <w:rFonts w:ascii="Times New Roman" w:eastAsia="Times New Roman" w:hAnsi="Times New Roman" w:cs="Times New Roman"/>
          <w:sz w:val="28"/>
          <w:szCs w:val="28"/>
          <w:lang w:val="da-DK"/>
        </w:rPr>
        <w:t>.</w:t>
      </w:r>
    </w:p>
    <w:p w14:paraId="63736A6F" w14:textId="3D46A2F1" w:rsidR="006F1D4C" w:rsidRPr="0059286F" w:rsidRDefault="006F1D4C" w:rsidP="0059286F">
      <w:pPr>
        <w:pBdr>
          <w:top w:val="dotted" w:sz="4" w:space="0" w:color="FFFFFF"/>
          <w:left w:val="dotted" w:sz="4" w:space="0" w:color="FFFFFF"/>
          <w:bottom w:val="dotted" w:sz="4" w:space="1" w:color="FFFFFF"/>
          <w:right w:val="dotted" w:sz="4" w:space="0" w:color="FFFFFF"/>
        </w:pBdr>
        <w:shd w:val="clear" w:color="auto" w:fill="FFFFFF"/>
        <w:spacing w:before="120" w:after="0" w:line="252" w:lineRule="auto"/>
        <w:ind w:firstLine="567"/>
        <w:jc w:val="both"/>
        <w:rPr>
          <w:rFonts w:ascii="Times New Roman" w:eastAsia="Aptos" w:hAnsi="Times New Roman" w:cs="Times New Roman"/>
          <w:b/>
          <w:color w:val="000000"/>
          <w:kern w:val="2"/>
          <w:sz w:val="28"/>
          <w:szCs w:val="28"/>
          <w:lang w:val="nl-NL"/>
          <w14:ligatures w14:val="standardContextual"/>
        </w:rPr>
      </w:pPr>
      <w:r w:rsidRPr="0059286F">
        <w:rPr>
          <w:rFonts w:ascii="Times New Roman" w:eastAsia="Times New Roman" w:hAnsi="Times New Roman" w:cs="Times New Roman"/>
          <w:sz w:val="28"/>
          <w:szCs w:val="28"/>
          <w:lang w:val="da-DK"/>
        </w:rPr>
        <w:t>- Đổi mới phương thức phổ biến, tuyên truyền bằng nhiều hình thức phù hợp với đặc điểm, tình hình, chức năng, nhiệm vụ của đơn vị; lựa chọn hình thức, đối tượng tuyên truyền đảm bảo phù hợp, thiết thực, hiệu quả, tránh hình thức, lãng phí</w:t>
      </w:r>
      <w:r w:rsidR="00E30B41" w:rsidRPr="0059286F">
        <w:rPr>
          <w:rFonts w:ascii="Times New Roman" w:eastAsia="Times New Roman" w:hAnsi="Times New Roman" w:cs="Times New Roman"/>
          <w:sz w:val="28"/>
          <w:szCs w:val="28"/>
          <w:lang w:val="da-DK"/>
        </w:rPr>
        <w:t>.</w:t>
      </w:r>
    </w:p>
    <w:p w14:paraId="5DC71F35" w14:textId="59E5D5F6" w:rsidR="006F1D4C" w:rsidRPr="0059286F" w:rsidRDefault="006F1D4C" w:rsidP="0059286F">
      <w:pPr>
        <w:pBdr>
          <w:top w:val="dotted" w:sz="4" w:space="0" w:color="FFFFFF"/>
          <w:left w:val="dotted" w:sz="4" w:space="0" w:color="FFFFFF"/>
          <w:bottom w:val="dotted" w:sz="4" w:space="1" w:color="FFFFFF"/>
          <w:right w:val="dotted" w:sz="4" w:space="0" w:color="FFFFFF"/>
        </w:pBdr>
        <w:shd w:val="clear" w:color="auto" w:fill="FFFFFF"/>
        <w:spacing w:before="120" w:after="0" w:line="252" w:lineRule="auto"/>
        <w:ind w:firstLine="567"/>
        <w:jc w:val="both"/>
        <w:rPr>
          <w:rFonts w:ascii="Times New Roman" w:eastAsia="Aptos" w:hAnsi="Times New Roman" w:cs="Times New Roman"/>
          <w:b/>
          <w:color w:val="000000"/>
          <w:kern w:val="2"/>
          <w:sz w:val="28"/>
          <w:szCs w:val="28"/>
          <w:lang w:val="nl-NL"/>
          <w14:ligatures w14:val="standardContextual"/>
        </w:rPr>
      </w:pPr>
      <w:r w:rsidRPr="0059286F">
        <w:rPr>
          <w:rFonts w:ascii="Times New Roman" w:eastAsia="SimSun" w:hAnsi="Times New Roman" w:cs="Times New Roman"/>
          <w:bCs/>
          <w:spacing w:val="-2"/>
          <w:sz w:val="28"/>
          <w:szCs w:val="28"/>
          <w:lang w:val="nl-NL" w:eastAsia="zh-CN"/>
        </w:rPr>
        <w:t xml:space="preserve">- </w:t>
      </w:r>
      <w:r w:rsidRPr="0059286F">
        <w:rPr>
          <w:rFonts w:ascii="Times New Roman" w:eastAsia="Times New Roman" w:hAnsi="Times New Roman" w:cs="Times New Roman"/>
          <w:sz w:val="28"/>
          <w:szCs w:val="28"/>
          <w:lang w:val="da-DK"/>
        </w:rPr>
        <w:t>Phát huy vai trò của các tổ chức đoàn thể trong Tập đoàn như Công đoàn, Đoàn Thanh niên trong công tác tuyên truyền, giáo dục về PCTN, LP, TC nhằm nâng cao ý thức của đoàn viên, người lao động về đấu tranh</w:t>
      </w:r>
      <w:r w:rsidRPr="0059286F">
        <w:rPr>
          <w:rFonts w:ascii="Times New Roman" w:eastAsia="Times New Roman" w:hAnsi="Times New Roman" w:cs="Times New Roman"/>
          <w:sz w:val="28"/>
          <w:szCs w:val="28"/>
          <w:lang w:val="vi-VN"/>
        </w:rPr>
        <w:t xml:space="preserve"> </w:t>
      </w:r>
      <w:r w:rsidRPr="0059286F">
        <w:rPr>
          <w:rFonts w:ascii="Times New Roman" w:eastAsia="Times New Roman" w:hAnsi="Times New Roman" w:cs="Times New Roman"/>
          <w:sz w:val="28"/>
          <w:szCs w:val="28"/>
          <w:lang w:val="nl-NL"/>
        </w:rPr>
        <w:t>PCTN, LP, TC</w:t>
      </w:r>
      <w:r w:rsidR="00E30B41" w:rsidRPr="0059286F">
        <w:rPr>
          <w:rFonts w:ascii="Times New Roman" w:eastAsia="Times New Roman" w:hAnsi="Times New Roman" w:cs="Times New Roman"/>
          <w:sz w:val="28"/>
          <w:szCs w:val="28"/>
          <w:lang w:val="da-DK"/>
        </w:rPr>
        <w:t>.</w:t>
      </w:r>
    </w:p>
    <w:p w14:paraId="3B0509E6" w14:textId="614E131C" w:rsidR="006F1D4C" w:rsidRPr="0059286F" w:rsidRDefault="006F1D4C" w:rsidP="0059286F">
      <w:pPr>
        <w:pBdr>
          <w:top w:val="dotted" w:sz="4" w:space="0" w:color="FFFFFF"/>
          <w:left w:val="dotted" w:sz="4" w:space="0" w:color="FFFFFF"/>
          <w:bottom w:val="dotted" w:sz="4" w:space="1" w:color="FFFFFF"/>
          <w:right w:val="dotted" w:sz="4" w:space="0" w:color="FFFFFF"/>
        </w:pBdr>
        <w:shd w:val="clear" w:color="auto" w:fill="FFFFFF"/>
        <w:spacing w:before="120" w:after="0" w:line="252" w:lineRule="auto"/>
        <w:ind w:firstLine="567"/>
        <w:jc w:val="both"/>
        <w:rPr>
          <w:rFonts w:ascii="Times New Roman" w:eastAsia="SimSun" w:hAnsi="Times New Roman" w:cs="Times New Roman"/>
          <w:b/>
          <w:color w:val="EE0000"/>
          <w:sz w:val="28"/>
          <w:szCs w:val="28"/>
          <w:lang w:val="nl-NL" w:eastAsia="zh-CN"/>
        </w:rPr>
      </w:pPr>
      <w:r w:rsidRPr="0059286F">
        <w:rPr>
          <w:rFonts w:ascii="Times New Roman" w:eastAsia="SimSun" w:hAnsi="Times New Roman" w:cs="Times New Roman"/>
          <w:b/>
          <w:sz w:val="28"/>
          <w:szCs w:val="28"/>
          <w:lang w:val="nl-NL" w:eastAsia="zh-CN"/>
        </w:rPr>
        <w:t>2. Hoàn thiện hệ thống văn bản nội bộ điều chỉnh các lĩnh vực hoạt động của Tập đoàn</w:t>
      </w:r>
    </w:p>
    <w:p w14:paraId="4B5987A2" w14:textId="0B4003B9" w:rsidR="006F1D4C" w:rsidRPr="0059286F" w:rsidRDefault="006F1D4C" w:rsidP="0059286F">
      <w:pPr>
        <w:pBdr>
          <w:top w:val="dotted" w:sz="4" w:space="0" w:color="FFFFFF"/>
          <w:left w:val="dotted" w:sz="4" w:space="0" w:color="FFFFFF"/>
          <w:bottom w:val="dotted" w:sz="4" w:space="1" w:color="FFFFFF"/>
          <w:right w:val="dotted" w:sz="4" w:space="0" w:color="FFFFFF"/>
        </w:pBdr>
        <w:shd w:val="clear" w:color="auto" w:fill="FFFFFF"/>
        <w:spacing w:before="120" w:after="0" w:line="252" w:lineRule="auto"/>
        <w:ind w:firstLine="567"/>
        <w:jc w:val="both"/>
        <w:rPr>
          <w:rFonts w:ascii="Times New Roman" w:eastAsia="Aptos" w:hAnsi="Times New Roman" w:cs="Times New Roman"/>
          <w:bCs/>
          <w:kern w:val="2"/>
          <w:sz w:val="28"/>
          <w:szCs w:val="28"/>
          <w:lang w:val="nl-NL"/>
          <w14:ligatures w14:val="standardContextual"/>
        </w:rPr>
      </w:pPr>
      <w:r w:rsidRPr="0059286F">
        <w:rPr>
          <w:rFonts w:ascii="Times New Roman" w:eastAsia="Times New Roman" w:hAnsi="Times New Roman" w:cs="Times New Roman"/>
          <w:sz w:val="28"/>
          <w:szCs w:val="28"/>
          <w:lang w:val="da-DK"/>
        </w:rPr>
        <w:t>- Tổ chức thực hiện</w:t>
      </w:r>
      <w:r w:rsidRPr="0059286F">
        <w:rPr>
          <w:rFonts w:ascii="Times New Roman" w:eastAsia="Aptos" w:hAnsi="Times New Roman" w:cs="Times New Roman"/>
          <w:bCs/>
          <w:kern w:val="2"/>
          <w:sz w:val="28"/>
          <w:szCs w:val="28"/>
          <w:lang w:val="nl-NL"/>
          <w14:ligatures w14:val="standardContextual"/>
        </w:rPr>
        <w:t xml:space="preserve"> Kế hoạch chi tiết triển khai thực hiện các nhiệm vụ, giải pháp thi hành pháp luật và hoàn thiện Hệ thống QCQLNB tại EVN và các đơn vị thành viên được EVN ban hành tại Văn bản số 6386/KH-EVN ngày 06/10/2025</w:t>
      </w:r>
      <w:r w:rsidR="009709A4" w:rsidRPr="0059286F">
        <w:rPr>
          <w:rFonts w:ascii="Times New Roman" w:eastAsia="Aptos" w:hAnsi="Times New Roman" w:cs="Times New Roman"/>
          <w:bCs/>
          <w:kern w:val="2"/>
          <w:sz w:val="28"/>
          <w:szCs w:val="28"/>
          <w:lang w:val="nl-NL"/>
          <w14:ligatures w14:val="standardContextual"/>
        </w:rPr>
        <w:t>.</w:t>
      </w:r>
    </w:p>
    <w:p w14:paraId="44B52BD7" w14:textId="31DB8EEC" w:rsidR="006F1D4C" w:rsidRPr="0059286F" w:rsidRDefault="006F1D4C" w:rsidP="0059286F">
      <w:pPr>
        <w:pBdr>
          <w:top w:val="dotted" w:sz="4" w:space="0" w:color="FFFFFF"/>
          <w:left w:val="dotted" w:sz="4" w:space="0" w:color="FFFFFF"/>
          <w:bottom w:val="dotted" w:sz="4" w:space="1" w:color="FFFFFF"/>
          <w:right w:val="dotted" w:sz="4" w:space="0" w:color="FFFFFF"/>
        </w:pBdr>
        <w:shd w:val="clear" w:color="auto" w:fill="FFFFFF"/>
        <w:spacing w:before="120" w:after="0" w:line="252" w:lineRule="auto"/>
        <w:ind w:firstLine="567"/>
        <w:jc w:val="both"/>
        <w:rPr>
          <w:rFonts w:ascii="Times New Roman" w:eastAsia="Aptos" w:hAnsi="Times New Roman" w:cs="Times New Roman"/>
          <w:bCs/>
          <w:kern w:val="2"/>
          <w:sz w:val="28"/>
          <w:szCs w:val="28"/>
          <w:lang w:val="nl-NL"/>
          <w14:ligatures w14:val="standardContextual"/>
        </w:rPr>
      </w:pPr>
      <w:r w:rsidRPr="0059286F">
        <w:rPr>
          <w:rFonts w:ascii="Times New Roman" w:eastAsia="Times New Roman" w:hAnsi="Times New Roman" w:cs="Times New Roman"/>
          <w:sz w:val="28"/>
          <w:szCs w:val="28"/>
          <w:lang w:val="nl-NL"/>
        </w:rPr>
        <w:t>- Thường xuyên rà soát các chủ trương, đường lối, quy định của Đảng, pháp luật của Nhà nước về PCTN, LP, TC đã được ban hành để lãnh đạo, chỉ đạo thể chế hoá, cụ thể hoá kịp thời thành quy chế, quy định nội bộ trong Tập đoàn</w:t>
      </w:r>
      <w:r w:rsidR="009709A4" w:rsidRPr="0059286F">
        <w:rPr>
          <w:rFonts w:ascii="Times New Roman" w:eastAsia="Times New Roman" w:hAnsi="Times New Roman" w:cs="Times New Roman"/>
          <w:sz w:val="28"/>
          <w:szCs w:val="28"/>
          <w:lang w:val="nl-NL"/>
        </w:rPr>
        <w:t>.</w:t>
      </w:r>
    </w:p>
    <w:p w14:paraId="755FB6B6" w14:textId="4F06CED9" w:rsidR="006F1D4C" w:rsidRPr="0059286F" w:rsidRDefault="006F1D4C" w:rsidP="0059286F">
      <w:pPr>
        <w:pBdr>
          <w:top w:val="dotted" w:sz="4" w:space="0" w:color="FFFFFF"/>
          <w:left w:val="dotted" w:sz="4" w:space="0" w:color="FFFFFF"/>
          <w:bottom w:val="dotted" w:sz="4" w:space="1" w:color="FFFFFF"/>
          <w:right w:val="dotted" w:sz="4" w:space="0" w:color="FFFFFF"/>
        </w:pBdr>
        <w:shd w:val="clear" w:color="auto" w:fill="FFFFFF"/>
        <w:spacing w:before="120" w:after="0" w:line="252" w:lineRule="auto"/>
        <w:ind w:firstLine="567"/>
        <w:jc w:val="both"/>
        <w:rPr>
          <w:rFonts w:ascii="Times New Roman" w:eastAsia="Aptos" w:hAnsi="Times New Roman" w:cs="Times New Roman"/>
          <w:bCs/>
          <w:kern w:val="2"/>
          <w:sz w:val="28"/>
          <w:szCs w:val="28"/>
          <w:lang w:val="nl-NL"/>
          <w14:ligatures w14:val="standardContextual"/>
        </w:rPr>
      </w:pPr>
      <w:r w:rsidRPr="0059286F">
        <w:rPr>
          <w:rFonts w:ascii="Times New Roman" w:eastAsia="Times New Roman" w:hAnsi="Times New Roman" w:cs="Times New Roman"/>
          <w:sz w:val="28"/>
          <w:szCs w:val="28"/>
          <w:lang w:val="nl-NL"/>
        </w:rPr>
        <w:t>- Theo dõi, đánh giá hiệu quả của quy chế, quy định nội bộ trong Tập đoàn sau ban hành để bảo đảm đồng bộ, thống nhất với chủ trương, đường lối của Đảng, pháp luật của Nhà nước, kịp thời phát hiện những hạn chế, khó khăn, vướng mắc, để hoàn thiện, đồng bộ hệ thống quy định nội bộ của Tập đoàn</w:t>
      </w:r>
      <w:r w:rsidR="009709A4" w:rsidRPr="0059286F">
        <w:rPr>
          <w:rFonts w:ascii="Times New Roman" w:eastAsia="Times New Roman" w:hAnsi="Times New Roman" w:cs="Times New Roman"/>
          <w:sz w:val="28"/>
          <w:szCs w:val="28"/>
          <w:lang w:val="da-DK"/>
        </w:rPr>
        <w:t>.</w:t>
      </w:r>
    </w:p>
    <w:p w14:paraId="2CAFA656" w14:textId="698CFB6B" w:rsidR="00C57FE2" w:rsidRPr="0059286F" w:rsidRDefault="006F1D4C" w:rsidP="0059286F">
      <w:pPr>
        <w:pBdr>
          <w:top w:val="dotted" w:sz="4" w:space="0" w:color="FFFFFF"/>
          <w:left w:val="dotted" w:sz="4" w:space="0" w:color="FFFFFF"/>
          <w:bottom w:val="dotted" w:sz="4" w:space="1" w:color="FFFFFF"/>
          <w:right w:val="dotted" w:sz="4" w:space="0" w:color="FFFFFF"/>
        </w:pBdr>
        <w:shd w:val="clear" w:color="auto" w:fill="FFFFFF"/>
        <w:spacing w:before="120" w:after="0" w:line="252" w:lineRule="auto"/>
        <w:ind w:firstLine="567"/>
        <w:jc w:val="both"/>
        <w:rPr>
          <w:rFonts w:ascii="Times New Roman" w:eastAsia="Aptos" w:hAnsi="Times New Roman" w:cs="Times New Roman"/>
          <w:kern w:val="2"/>
          <w:sz w:val="28"/>
          <w:szCs w:val="28"/>
          <w:lang w:val="nl-NL"/>
          <w14:ligatures w14:val="standardContextual"/>
        </w:rPr>
      </w:pPr>
      <w:r w:rsidRPr="0059286F">
        <w:rPr>
          <w:rFonts w:ascii="Times New Roman" w:eastAsia="Times New Roman" w:hAnsi="Times New Roman" w:cs="Times New Roman"/>
          <w:sz w:val="28"/>
          <w:szCs w:val="28"/>
          <w:lang w:val="da-DK"/>
        </w:rPr>
        <w:t xml:space="preserve">- </w:t>
      </w:r>
      <w:r w:rsidRPr="0059286F">
        <w:rPr>
          <w:rFonts w:ascii="Times New Roman" w:eastAsia="Aptos" w:hAnsi="Times New Roman" w:cs="Times New Roman"/>
          <w:kern w:val="2"/>
          <w:sz w:val="28"/>
          <w:szCs w:val="28"/>
          <w:lang w:val="nl-NL"/>
          <w14:ligatures w14:val="standardContextual"/>
        </w:rPr>
        <w:t>Đẩy mạnh phân cấp, phân quyền gắn với cải cách hành chính toàn diện phù hợp với mô hình tổ chức của Tập đoàn sau khi tiến hành sáp nhập.</w:t>
      </w:r>
    </w:p>
    <w:p w14:paraId="0D54FE8B" w14:textId="34941919" w:rsidR="006F1D4C" w:rsidRPr="0059286F" w:rsidRDefault="006F1D4C" w:rsidP="0059286F">
      <w:pPr>
        <w:pBdr>
          <w:top w:val="dotted" w:sz="4" w:space="0" w:color="FFFFFF"/>
          <w:left w:val="dotted" w:sz="4" w:space="0" w:color="FFFFFF"/>
          <w:bottom w:val="dotted" w:sz="4" w:space="1" w:color="FFFFFF"/>
          <w:right w:val="dotted" w:sz="4" w:space="0" w:color="FFFFFF"/>
        </w:pBdr>
        <w:shd w:val="clear" w:color="auto" w:fill="FFFFFF"/>
        <w:spacing w:before="120" w:after="0" w:line="252" w:lineRule="auto"/>
        <w:ind w:firstLine="567"/>
        <w:jc w:val="both"/>
        <w:rPr>
          <w:rFonts w:ascii="Times New Roman" w:eastAsia="Aptos" w:hAnsi="Times New Roman" w:cs="Times New Roman"/>
          <w:b/>
          <w:color w:val="EE0000"/>
          <w:kern w:val="2"/>
          <w:sz w:val="28"/>
          <w:szCs w:val="28"/>
          <w:lang w:val="nl-NL"/>
          <w14:ligatures w14:val="standardContextual"/>
        </w:rPr>
      </w:pPr>
      <w:r w:rsidRPr="0059286F">
        <w:rPr>
          <w:rFonts w:ascii="Times New Roman" w:eastAsia="SimSun" w:hAnsi="Times New Roman" w:cs="Times New Roman"/>
          <w:b/>
          <w:sz w:val="28"/>
          <w:szCs w:val="28"/>
          <w:lang w:val="nl-NL" w:eastAsia="zh-CN"/>
        </w:rPr>
        <w:t xml:space="preserve">3. </w:t>
      </w:r>
      <w:bookmarkStart w:id="0" w:name="_Hlk219973600"/>
      <w:r w:rsidRPr="0059286F">
        <w:rPr>
          <w:rFonts w:ascii="Times New Roman" w:eastAsia="Aptos" w:hAnsi="Times New Roman" w:cs="Times New Roman"/>
          <w:b/>
          <w:kern w:val="2"/>
          <w:sz w:val="28"/>
          <w:szCs w:val="28"/>
          <w:lang w:val="nl-NL"/>
          <w14:ligatures w14:val="standardContextual"/>
        </w:rPr>
        <w:t>Kiểm soát quyền lực và PCTN, tiêu cực trong công tác cán bộ</w:t>
      </w:r>
      <w:bookmarkEnd w:id="0"/>
    </w:p>
    <w:p w14:paraId="10B5BFE3" w14:textId="77777777" w:rsidR="006F1D4C" w:rsidRPr="0059286F" w:rsidRDefault="006F1D4C" w:rsidP="0059286F">
      <w:pPr>
        <w:pBdr>
          <w:top w:val="dotted" w:sz="4" w:space="0" w:color="FFFFFF"/>
          <w:left w:val="dotted" w:sz="4" w:space="0" w:color="FFFFFF"/>
          <w:bottom w:val="dotted" w:sz="4" w:space="1" w:color="FFFFFF"/>
          <w:right w:val="dotted" w:sz="4" w:space="0" w:color="FFFFFF"/>
        </w:pBdr>
        <w:shd w:val="clear" w:color="auto" w:fill="FFFFFF"/>
        <w:spacing w:before="120" w:after="0" w:line="252" w:lineRule="auto"/>
        <w:ind w:firstLine="567"/>
        <w:jc w:val="both"/>
        <w:rPr>
          <w:rFonts w:ascii="Times New Roman" w:eastAsia="Aptos" w:hAnsi="Times New Roman" w:cs="Times New Roman"/>
          <w:bCs/>
          <w:spacing w:val="-2"/>
          <w:kern w:val="2"/>
          <w:sz w:val="28"/>
          <w:szCs w:val="28"/>
          <w:lang w:val="nl-NL"/>
          <w14:ligatures w14:val="standardContextual"/>
        </w:rPr>
      </w:pPr>
      <w:r w:rsidRPr="0059286F">
        <w:rPr>
          <w:rFonts w:ascii="Times New Roman" w:eastAsia="SimSun" w:hAnsi="Times New Roman" w:cs="Times New Roman"/>
          <w:spacing w:val="-2"/>
          <w:sz w:val="28"/>
          <w:szCs w:val="28"/>
          <w:lang w:val="nl-NL" w:eastAsia="zh-CN"/>
        </w:rPr>
        <w:t xml:space="preserve">- Thực hiện nghiêm túc các quy định </w:t>
      </w:r>
      <w:r w:rsidRPr="0059286F">
        <w:rPr>
          <w:rFonts w:ascii="Times New Roman" w:eastAsia="Aptos" w:hAnsi="Times New Roman" w:cs="Times New Roman"/>
          <w:spacing w:val="-2"/>
          <w:kern w:val="2"/>
          <w:sz w:val="28"/>
          <w:szCs w:val="28"/>
          <w:lang w:val="nl-NL"/>
          <w14:ligatures w14:val="standardContextual"/>
        </w:rPr>
        <w:t xml:space="preserve">của Bộ Chính trị về kiểm soát quyền lực và PCTN, tiêu cực trong công tác cán bộ </w:t>
      </w:r>
      <w:r w:rsidRPr="0059286F">
        <w:rPr>
          <w:rFonts w:ascii="Times New Roman" w:eastAsia="Aptos" w:hAnsi="Times New Roman" w:cs="Times New Roman"/>
          <w:i/>
          <w:iCs/>
          <w:spacing w:val="-2"/>
          <w:kern w:val="2"/>
          <w:sz w:val="28"/>
          <w:szCs w:val="28"/>
          <w:lang w:val="nl-NL"/>
          <w14:ligatures w14:val="standardContextual"/>
        </w:rPr>
        <w:t>(từ quy hoạch, đào tạo, bổ nhiệm, luân chuyển)</w:t>
      </w:r>
      <w:r w:rsidRPr="0059286F">
        <w:rPr>
          <w:rFonts w:ascii="Times New Roman" w:eastAsia="Aptos" w:hAnsi="Times New Roman" w:cs="Times New Roman"/>
          <w:spacing w:val="-2"/>
          <w:kern w:val="2"/>
          <w:sz w:val="28"/>
          <w:szCs w:val="28"/>
          <w:lang w:val="nl-NL"/>
          <w14:ligatures w14:val="standardContextual"/>
        </w:rPr>
        <w:t>;</w:t>
      </w:r>
    </w:p>
    <w:p w14:paraId="278F3372" w14:textId="77777777" w:rsidR="006F1D4C" w:rsidRPr="0059286F" w:rsidRDefault="006F1D4C" w:rsidP="0059286F">
      <w:pPr>
        <w:pBdr>
          <w:top w:val="dotted" w:sz="4" w:space="0" w:color="FFFFFF"/>
          <w:left w:val="dotted" w:sz="4" w:space="0" w:color="FFFFFF"/>
          <w:bottom w:val="dotted" w:sz="4" w:space="1" w:color="FFFFFF"/>
          <w:right w:val="dotted" w:sz="4" w:space="0" w:color="FFFFFF"/>
        </w:pBdr>
        <w:shd w:val="clear" w:color="auto" w:fill="FFFFFF"/>
        <w:spacing w:before="120" w:after="0" w:line="252" w:lineRule="auto"/>
        <w:ind w:firstLine="567"/>
        <w:jc w:val="both"/>
        <w:rPr>
          <w:rFonts w:ascii="Times New Roman" w:eastAsia="Aptos" w:hAnsi="Times New Roman" w:cs="Times New Roman"/>
          <w:bCs/>
          <w:kern w:val="2"/>
          <w:sz w:val="28"/>
          <w:szCs w:val="28"/>
          <w:lang w:val="nl-NL"/>
          <w14:ligatures w14:val="standardContextual"/>
        </w:rPr>
      </w:pPr>
      <w:r w:rsidRPr="0059286F">
        <w:rPr>
          <w:rFonts w:ascii="Times New Roman" w:eastAsia="Aptos" w:hAnsi="Times New Roman" w:cs="Times New Roman"/>
          <w:kern w:val="2"/>
          <w:sz w:val="28"/>
          <w:szCs w:val="28"/>
          <w:lang w:val="nl-NL"/>
          <w14:ligatures w14:val="standardContextual"/>
        </w:rPr>
        <w:t>- Tiếp tục thực hiện chế độ luân chuyển, chuyển đổi vị trí công tác định kỳ, đặc biệt đối với các vị trí nhạy cảm theo quy định;</w:t>
      </w:r>
    </w:p>
    <w:p w14:paraId="3BB556EF" w14:textId="77777777" w:rsidR="006F1D4C" w:rsidRPr="0059286F" w:rsidRDefault="006F1D4C" w:rsidP="0059286F">
      <w:pPr>
        <w:pBdr>
          <w:top w:val="dotted" w:sz="4" w:space="0" w:color="FFFFFF"/>
          <w:left w:val="dotted" w:sz="4" w:space="0" w:color="FFFFFF"/>
          <w:bottom w:val="dotted" w:sz="4" w:space="1" w:color="FFFFFF"/>
          <w:right w:val="dotted" w:sz="4" w:space="0" w:color="FFFFFF"/>
        </w:pBdr>
        <w:shd w:val="clear" w:color="auto" w:fill="FFFFFF"/>
        <w:spacing w:before="120" w:after="0" w:line="252" w:lineRule="auto"/>
        <w:ind w:firstLine="567"/>
        <w:jc w:val="both"/>
        <w:rPr>
          <w:rFonts w:ascii="Times New Roman" w:eastAsia="Aptos" w:hAnsi="Times New Roman" w:cs="Times New Roman"/>
          <w:bCs/>
          <w:kern w:val="2"/>
          <w:sz w:val="28"/>
          <w:szCs w:val="28"/>
          <w:lang w:val="nl-NL"/>
          <w14:ligatures w14:val="standardContextual"/>
        </w:rPr>
      </w:pPr>
      <w:r w:rsidRPr="0059286F">
        <w:rPr>
          <w:rFonts w:ascii="Times New Roman" w:eastAsia="Aptos" w:hAnsi="Times New Roman" w:cs="Times New Roman"/>
          <w:kern w:val="2"/>
          <w:sz w:val="28"/>
          <w:szCs w:val="28"/>
          <w:lang w:val="nl-NL"/>
          <w14:ligatures w14:val="standardContextual"/>
        </w:rPr>
        <w:lastRenderedPageBreak/>
        <w:t>- Thường xuyên tổ chức</w:t>
      </w:r>
      <w:r w:rsidRPr="0059286F">
        <w:rPr>
          <w:rFonts w:ascii="Times New Roman" w:eastAsia="Times New Roman" w:hAnsi="Times New Roman" w:cs="Times New Roman"/>
          <w:bCs/>
          <w:iCs/>
          <w:sz w:val="28"/>
          <w:szCs w:val="28"/>
          <w:lang w:val="da-DK"/>
        </w:rPr>
        <w:t xml:space="preserve"> kiểm tra, giám sát, đối chiếu việc kê khai, công khai tài sản thu nhập;</w:t>
      </w:r>
    </w:p>
    <w:p w14:paraId="36D4E358" w14:textId="5B5D829F" w:rsidR="006F1D4C" w:rsidRPr="0059286F" w:rsidRDefault="00EA5F3D" w:rsidP="0059286F">
      <w:pPr>
        <w:tabs>
          <w:tab w:val="left" w:pos="567"/>
        </w:tabs>
        <w:spacing w:before="120" w:after="0" w:line="252" w:lineRule="auto"/>
        <w:jc w:val="both"/>
        <w:rPr>
          <w:rFonts w:ascii="Times New Roman" w:eastAsia="Times New Roman" w:hAnsi="Times New Roman" w:cs="Times New Roman"/>
          <w:bCs/>
          <w:sz w:val="28"/>
          <w:szCs w:val="28"/>
          <w:lang w:val="da-DK"/>
        </w:rPr>
      </w:pPr>
      <w:r w:rsidRPr="0059286F">
        <w:rPr>
          <w:rFonts w:ascii="Times New Roman" w:eastAsia="Aptos" w:hAnsi="Times New Roman" w:cs="Times New Roman"/>
          <w:kern w:val="2"/>
          <w:sz w:val="28"/>
          <w:szCs w:val="28"/>
          <w:lang w:val="nl-NL"/>
          <w14:ligatures w14:val="standardContextual"/>
        </w:rPr>
        <w:t xml:space="preserve">        </w:t>
      </w:r>
      <w:r w:rsidR="006F1D4C" w:rsidRPr="0059286F">
        <w:rPr>
          <w:rFonts w:ascii="Times New Roman" w:eastAsia="Aptos" w:hAnsi="Times New Roman" w:cs="Times New Roman"/>
          <w:kern w:val="2"/>
          <w:sz w:val="28"/>
          <w:szCs w:val="28"/>
          <w:lang w:val="nl-NL"/>
          <w14:ligatures w14:val="standardContextual"/>
        </w:rPr>
        <w:t xml:space="preserve">- Rà soát việc </w:t>
      </w:r>
      <w:r w:rsidR="006F1D4C" w:rsidRPr="0059286F">
        <w:rPr>
          <w:rFonts w:ascii="Times New Roman" w:eastAsia="Times New Roman" w:hAnsi="Times New Roman" w:cs="Times New Roman"/>
          <w:sz w:val="28"/>
          <w:szCs w:val="28"/>
          <w:lang w:val="da-DK"/>
        </w:rPr>
        <w:t xml:space="preserve">thực hiện quy tắc ứng xử của người có chức vụ, quyền hạn; </w:t>
      </w:r>
      <w:r w:rsidR="006F1D4C" w:rsidRPr="0059286F">
        <w:rPr>
          <w:rFonts w:ascii="Times New Roman" w:eastAsia="Times New Roman" w:hAnsi="Times New Roman" w:cs="Times New Roman"/>
          <w:bCs/>
          <w:sz w:val="28"/>
          <w:szCs w:val="28"/>
          <w:lang w:val="da-DK"/>
        </w:rPr>
        <w:t xml:space="preserve">kiểm soát xung đột lợi ích theo </w:t>
      </w:r>
      <w:r w:rsidR="006F1D4C" w:rsidRPr="0059286F">
        <w:rPr>
          <w:rFonts w:ascii="Times New Roman" w:eastAsia="Times New Roman" w:hAnsi="Times New Roman" w:cs="Times New Roman"/>
          <w:sz w:val="28"/>
          <w:szCs w:val="28"/>
          <w:lang w:val="da-DK"/>
        </w:rPr>
        <w:t>quy định của Luật Phòng, chống tham nhũng.</w:t>
      </w:r>
    </w:p>
    <w:p w14:paraId="20227C9D" w14:textId="77777777" w:rsidR="006F1D4C" w:rsidRPr="0059286F" w:rsidRDefault="006F1D4C" w:rsidP="0059286F">
      <w:pPr>
        <w:spacing w:before="120" w:after="0" w:line="252" w:lineRule="auto"/>
        <w:ind w:firstLine="720"/>
        <w:jc w:val="both"/>
        <w:rPr>
          <w:rFonts w:ascii="Times New Roman" w:eastAsia="Aptos" w:hAnsi="Times New Roman" w:cs="Times New Roman"/>
          <w:b/>
          <w:kern w:val="2"/>
          <w:sz w:val="28"/>
          <w:szCs w:val="28"/>
          <w:lang w:val="da-DK"/>
          <w14:ligatures w14:val="standardContextual"/>
        </w:rPr>
      </w:pPr>
      <w:r w:rsidRPr="0059286F">
        <w:rPr>
          <w:rFonts w:ascii="Times New Roman" w:eastAsia="Times New Roman" w:hAnsi="Times New Roman" w:cs="Times New Roman"/>
          <w:b/>
          <w:sz w:val="28"/>
          <w:szCs w:val="28"/>
          <w:lang w:val="da-DK"/>
        </w:rPr>
        <w:t>4. Tăng cường công tác kiểm tra, giám sát chuyên môn nghiệp vụ</w:t>
      </w:r>
    </w:p>
    <w:p w14:paraId="66135E1C" w14:textId="3E246AEB" w:rsidR="006F1D4C" w:rsidRPr="0059286F" w:rsidRDefault="006F1D4C" w:rsidP="0059286F">
      <w:pPr>
        <w:spacing w:before="120" w:after="0" w:line="252" w:lineRule="auto"/>
        <w:ind w:firstLine="720"/>
        <w:jc w:val="both"/>
        <w:rPr>
          <w:rFonts w:ascii="Times New Roman" w:eastAsia="Times New Roman" w:hAnsi="Times New Roman" w:cs="Times New Roman"/>
          <w:i/>
          <w:iCs/>
          <w:sz w:val="28"/>
          <w:szCs w:val="28"/>
          <w:lang w:val="da-DK"/>
        </w:rPr>
      </w:pPr>
      <w:r w:rsidRPr="0059286F">
        <w:rPr>
          <w:rFonts w:ascii="Times New Roman" w:eastAsia="Aptos" w:hAnsi="Times New Roman" w:cs="Times New Roman"/>
          <w:i/>
          <w:iCs/>
          <w:kern w:val="2"/>
          <w:sz w:val="28"/>
          <w:szCs w:val="28"/>
          <w:lang w:val="da-DK"/>
          <w14:ligatures w14:val="standardContextual"/>
        </w:rPr>
        <w:t xml:space="preserve">4.1. Quản lý chất lượng, tiến độ công trình </w:t>
      </w:r>
      <w:r w:rsidR="000E12C5" w:rsidRPr="0059286F">
        <w:rPr>
          <w:rFonts w:ascii="Times New Roman" w:eastAsia="Aptos" w:hAnsi="Times New Roman" w:cs="Times New Roman"/>
          <w:i/>
          <w:iCs/>
          <w:kern w:val="2"/>
          <w:sz w:val="28"/>
          <w:szCs w:val="28"/>
          <w:lang w:val="da-DK"/>
          <w14:ligatures w14:val="standardContextual"/>
        </w:rPr>
        <w:t>đ</w:t>
      </w:r>
      <w:r w:rsidRPr="0059286F">
        <w:rPr>
          <w:rFonts w:ascii="Times New Roman" w:eastAsia="Aptos" w:hAnsi="Times New Roman" w:cs="Times New Roman"/>
          <w:i/>
          <w:iCs/>
          <w:kern w:val="2"/>
          <w:sz w:val="28"/>
          <w:szCs w:val="28"/>
          <w:lang w:val="da-DK"/>
          <w14:ligatures w14:val="standardContextual"/>
        </w:rPr>
        <w:t>ầu tư xây dựng, sửa chữa lớn (ĐTXD, SCL)</w:t>
      </w:r>
      <w:r w:rsidR="001A5E53" w:rsidRPr="0059286F">
        <w:rPr>
          <w:rFonts w:ascii="Times New Roman" w:eastAsia="Aptos" w:hAnsi="Times New Roman" w:cs="Times New Roman"/>
          <w:i/>
          <w:iCs/>
          <w:kern w:val="2"/>
          <w:sz w:val="28"/>
          <w:szCs w:val="28"/>
          <w:lang w:val="da-DK"/>
          <w14:ligatures w14:val="standardContextual"/>
        </w:rPr>
        <w:t>:</w:t>
      </w:r>
    </w:p>
    <w:p w14:paraId="100E5887" w14:textId="1626960F" w:rsidR="006F1D4C" w:rsidRPr="0059286F" w:rsidRDefault="006F1D4C" w:rsidP="0059286F">
      <w:pPr>
        <w:spacing w:before="120" w:after="0" w:line="252" w:lineRule="auto"/>
        <w:ind w:firstLine="720"/>
        <w:jc w:val="both"/>
        <w:rPr>
          <w:rFonts w:ascii="Times New Roman" w:eastAsia="Times New Roman" w:hAnsi="Times New Roman" w:cs="Times New Roman"/>
          <w:iCs/>
          <w:sz w:val="28"/>
          <w:szCs w:val="28"/>
          <w:lang w:val="da-DK"/>
        </w:rPr>
      </w:pPr>
      <w:r w:rsidRPr="0059286F">
        <w:rPr>
          <w:rFonts w:ascii="Times New Roman" w:eastAsia="Times New Roman" w:hAnsi="Times New Roman" w:cs="Times New Roman"/>
          <w:iCs/>
          <w:sz w:val="28"/>
          <w:szCs w:val="28"/>
          <w:lang w:val="da-DK"/>
        </w:rPr>
        <w:t>- Công tác quản lý, kiểm tra, giám sát quá trình thi công xây dựng công trình, đảm bảo công trình ĐTXD, SCL hoàn thành đúng tiến độ, đảm bảo chất lượng</w:t>
      </w:r>
      <w:r w:rsidR="00E56EDC" w:rsidRPr="0059286F">
        <w:rPr>
          <w:rFonts w:ascii="Times New Roman" w:eastAsia="Times New Roman" w:hAnsi="Times New Roman" w:cs="Times New Roman"/>
          <w:iCs/>
          <w:sz w:val="28"/>
          <w:szCs w:val="28"/>
          <w:lang w:val="da-DK"/>
        </w:rPr>
        <w:t>.</w:t>
      </w:r>
    </w:p>
    <w:p w14:paraId="1166EC4B" w14:textId="3B1A5391" w:rsidR="006F1D4C" w:rsidRPr="0059286F" w:rsidRDefault="006F1D4C" w:rsidP="0059286F">
      <w:pPr>
        <w:spacing w:before="120" w:after="0" w:line="252" w:lineRule="auto"/>
        <w:ind w:firstLine="720"/>
        <w:jc w:val="both"/>
        <w:rPr>
          <w:rFonts w:ascii="Times New Roman" w:eastAsia="Times New Roman" w:hAnsi="Times New Roman" w:cs="Times New Roman"/>
          <w:color w:val="000000"/>
          <w:sz w:val="28"/>
          <w:szCs w:val="28"/>
          <w:lang w:val="da-DK"/>
        </w:rPr>
      </w:pPr>
      <w:r w:rsidRPr="0059286F">
        <w:rPr>
          <w:rFonts w:ascii="Times New Roman" w:eastAsia="Times New Roman" w:hAnsi="Times New Roman" w:cs="Times New Roman"/>
          <w:color w:val="000000"/>
          <w:sz w:val="28"/>
          <w:szCs w:val="28"/>
          <w:lang w:val="da-DK"/>
        </w:rPr>
        <w:t xml:space="preserve">- Theo dõi, kiểm tra và đánh giá hiệu quả đầu tư dự án, hiệu quả của các công trình SCL trước, trong và sau khi hoàn thành theo </w:t>
      </w:r>
      <w:r w:rsidRPr="0059286F">
        <w:rPr>
          <w:rFonts w:ascii="Times New Roman" w:eastAsia="Times New Roman" w:hAnsi="Times New Roman" w:cs="Times New Roman"/>
          <w:color w:val="000000"/>
          <w:sz w:val="28"/>
          <w:szCs w:val="28"/>
          <w:lang w:val="vi-VN"/>
        </w:rPr>
        <w:t>q</w:t>
      </w:r>
      <w:r w:rsidRPr="0059286F">
        <w:rPr>
          <w:rFonts w:ascii="Times New Roman" w:eastAsia="Times New Roman" w:hAnsi="Times New Roman" w:cs="Times New Roman"/>
          <w:color w:val="000000"/>
          <w:sz w:val="28"/>
          <w:szCs w:val="28"/>
          <w:lang w:val="da-DK"/>
        </w:rPr>
        <w:t>u</w:t>
      </w:r>
      <w:r w:rsidR="00C03453" w:rsidRPr="0059286F">
        <w:rPr>
          <w:rFonts w:ascii="Times New Roman" w:eastAsia="Times New Roman" w:hAnsi="Times New Roman" w:cs="Times New Roman"/>
          <w:color w:val="000000"/>
          <w:sz w:val="28"/>
          <w:szCs w:val="28"/>
          <w:lang w:val="da-DK"/>
        </w:rPr>
        <w:t>y</w:t>
      </w:r>
      <w:r w:rsidRPr="0059286F">
        <w:rPr>
          <w:rFonts w:ascii="Times New Roman" w:eastAsia="Times New Roman" w:hAnsi="Times New Roman" w:cs="Times New Roman"/>
          <w:color w:val="000000"/>
          <w:sz w:val="28"/>
          <w:szCs w:val="28"/>
          <w:lang w:val="da-DK"/>
        </w:rPr>
        <w:t xml:space="preserve"> định</w:t>
      </w:r>
      <w:r w:rsidR="00E56EDC" w:rsidRPr="0059286F">
        <w:rPr>
          <w:rFonts w:ascii="Times New Roman" w:eastAsia="Times New Roman" w:hAnsi="Times New Roman" w:cs="Times New Roman"/>
          <w:color w:val="000000"/>
          <w:sz w:val="28"/>
          <w:szCs w:val="28"/>
          <w:lang w:val="da-DK"/>
        </w:rPr>
        <w:t>.</w:t>
      </w:r>
    </w:p>
    <w:p w14:paraId="3483A408" w14:textId="77777777" w:rsidR="006F1D4C" w:rsidRPr="0059286F" w:rsidRDefault="006F1D4C" w:rsidP="0059286F">
      <w:pPr>
        <w:spacing w:before="120" w:after="0" w:line="252" w:lineRule="auto"/>
        <w:ind w:firstLine="720"/>
        <w:jc w:val="both"/>
        <w:rPr>
          <w:rFonts w:ascii="Times New Roman" w:eastAsia="Times New Roman" w:hAnsi="Times New Roman" w:cs="Times New Roman"/>
          <w:color w:val="000000"/>
          <w:spacing w:val="-2"/>
          <w:sz w:val="28"/>
          <w:szCs w:val="28"/>
          <w:lang w:val="da-DK"/>
        </w:rPr>
      </w:pPr>
      <w:r w:rsidRPr="0059286F">
        <w:rPr>
          <w:rFonts w:ascii="Times New Roman" w:eastAsia="Times New Roman" w:hAnsi="Times New Roman" w:cs="Times New Roman"/>
          <w:color w:val="000000"/>
          <w:spacing w:val="-2"/>
          <w:sz w:val="28"/>
          <w:szCs w:val="28"/>
          <w:lang w:val="da-DK"/>
        </w:rPr>
        <w:t>- R</w:t>
      </w:r>
      <w:r w:rsidRPr="0059286F">
        <w:rPr>
          <w:rFonts w:ascii="Times New Roman" w:eastAsia="Aptos" w:hAnsi="Times New Roman" w:cs="Times New Roman"/>
          <w:spacing w:val="-2"/>
          <w:kern w:val="2"/>
          <w:sz w:val="28"/>
          <w:szCs w:val="28"/>
          <w:lang w:val="da-DK"/>
          <w14:ligatures w14:val="standardContextual"/>
        </w:rPr>
        <w:t>à soát, làm rõ nguyên nhân và có phương án xử lý đối với các công trình, dự án chậm tiến độ, tồn đọng kéo dài, nguy cơ gây thất thoát, lãng phí. Kịp thời báo cáo cơ quan có thẩm quyền đối với những khó khăn, vướng mắc trong quá trình xử lý. </w:t>
      </w:r>
    </w:p>
    <w:p w14:paraId="393895E2" w14:textId="768AB81D" w:rsidR="006F1D4C" w:rsidRPr="0059286F" w:rsidRDefault="006F1D4C" w:rsidP="0059286F">
      <w:pPr>
        <w:spacing w:before="120" w:after="0" w:line="252" w:lineRule="auto"/>
        <w:ind w:firstLine="720"/>
        <w:jc w:val="both"/>
        <w:rPr>
          <w:rFonts w:ascii="Times New Roman" w:eastAsia="Times New Roman" w:hAnsi="Times New Roman" w:cs="Times New Roman"/>
          <w:i/>
          <w:iCs/>
          <w:color w:val="000000"/>
          <w:sz w:val="28"/>
          <w:szCs w:val="28"/>
          <w:lang w:val="da-DK"/>
        </w:rPr>
      </w:pPr>
      <w:r w:rsidRPr="0059286F">
        <w:rPr>
          <w:rFonts w:ascii="Times New Roman" w:eastAsia="Times New Roman" w:hAnsi="Times New Roman" w:cs="Times New Roman"/>
          <w:i/>
          <w:iCs/>
          <w:color w:val="000000"/>
          <w:sz w:val="28"/>
          <w:szCs w:val="28"/>
          <w:lang w:val="da-DK"/>
        </w:rPr>
        <w:t>4.2. Công tác đấu thầu</w:t>
      </w:r>
      <w:r w:rsidR="001A5E53" w:rsidRPr="0059286F">
        <w:rPr>
          <w:rFonts w:ascii="Times New Roman" w:eastAsia="Times New Roman" w:hAnsi="Times New Roman" w:cs="Times New Roman"/>
          <w:i/>
          <w:iCs/>
          <w:color w:val="000000"/>
          <w:sz w:val="28"/>
          <w:szCs w:val="28"/>
          <w:lang w:val="da-DK"/>
        </w:rPr>
        <w:t>:</w:t>
      </w:r>
    </w:p>
    <w:p w14:paraId="4ADAC3CF" w14:textId="42C6335C" w:rsidR="006F1D4C" w:rsidRPr="0059286F" w:rsidRDefault="006F1D4C" w:rsidP="0059286F">
      <w:pPr>
        <w:spacing w:before="120" w:after="0" w:line="252" w:lineRule="auto"/>
        <w:ind w:firstLine="720"/>
        <w:jc w:val="both"/>
        <w:rPr>
          <w:rFonts w:ascii="Times New Roman" w:eastAsia="Aptos" w:hAnsi="Times New Roman" w:cs="Times New Roman"/>
          <w:kern w:val="2"/>
          <w:sz w:val="28"/>
          <w:szCs w:val="28"/>
          <w:lang w:val="da-DK"/>
          <w14:ligatures w14:val="standardContextual"/>
        </w:rPr>
      </w:pPr>
      <w:r w:rsidRPr="0059286F">
        <w:rPr>
          <w:rFonts w:ascii="Times New Roman" w:eastAsia="Aptos" w:hAnsi="Times New Roman" w:cs="Times New Roman"/>
          <w:kern w:val="2"/>
          <w:sz w:val="28"/>
          <w:szCs w:val="28"/>
          <w:lang w:val="da-DK"/>
          <w14:ligatures w14:val="standardContextual"/>
        </w:rPr>
        <w:t>- Tăng cường sự lãnh đạo, chỉ đạo của các cấp ủy đảng và vai trò, trách nhiệm của người đứng đầu đối với công tác đấu thầu; phát huy mạnh mẽ vai trò, trách nhiệm của các cấp ủy, tổ chức đảng trong việc lãnh đạo, chỉ đạo bộ phận chuyên môn tập trung triển khai hiệu quả công tác lựa chọn nhà thầu phù hợp với quy định của pháp luật và quy định về đấu thầu của EVN</w:t>
      </w:r>
      <w:r w:rsidR="00371A9D" w:rsidRPr="0059286F">
        <w:rPr>
          <w:rFonts w:ascii="Times New Roman" w:eastAsia="Aptos" w:hAnsi="Times New Roman" w:cs="Times New Roman"/>
          <w:kern w:val="2"/>
          <w:sz w:val="28"/>
          <w:szCs w:val="28"/>
          <w:lang w:val="da-DK"/>
          <w14:ligatures w14:val="standardContextual"/>
        </w:rPr>
        <w:t>.</w:t>
      </w:r>
    </w:p>
    <w:p w14:paraId="4596CBB1" w14:textId="48AD2FF5" w:rsidR="006F1D4C" w:rsidRPr="0059286F" w:rsidRDefault="006F1D4C" w:rsidP="0059286F">
      <w:pPr>
        <w:spacing w:before="120" w:after="0" w:line="252" w:lineRule="auto"/>
        <w:ind w:firstLine="720"/>
        <w:jc w:val="both"/>
        <w:rPr>
          <w:rFonts w:ascii="Times New Roman" w:eastAsia="Aptos" w:hAnsi="Times New Roman" w:cs="Times New Roman"/>
          <w:kern w:val="2"/>
          <w:sz w:val="28"/>
          <w:szCs w:val="28"/>
          <w:lang w:val="da-DK"/>
          <w14:ligatures w14:val="standardContextual"/>
        </w:rPr>
      </w:pPr>
      <w:r w:rsidRPr="0059286F">
        <w:rPr>
          <w:rFonts w:ascii="Times New Roman" w:eastAsia="Aptos" w:hAnsi="Times New Roman" w:cs="Times New Roman"/>
          <w:kern w:val="2"/>
          <w:sz w:val="28"/>
          <w:szCs w:val="28"/>
          <w:lang w:val="da-DK"/>
          <w14:ligatures w14:val="standardContextual"/>
        </w:rPr>
        <w:t>- Nâng cao chất lượng công tác lập hồ sơ mời thầu, đánh giá hồ sơ dự thầu, thẩm định các nội dung quá trình lựa chọn nhà thầu đảm bảo tính minh bạch, công bằng và hiệu quả kinh tế trong đấu thầu</w:t>
      </w:r>
      <w:r w:rsidR="00371A9D" w:rsidRPr="0059286F">
        <w:rPr>
          <w:rFonts w:ascii="Times New Roman" w:eastAsia="Aptos" w:hAnsi="Times New Roman" w:cs="Times New Roman"/>
          <w:kern w:val="2"/>
          <w:sz w:val="28"/>
          <w:szCs w:val="28"/>
          <w:lang w:val="da-DK"/>
          <w14:ligatures w14:val="standardContextual"/>
        </w:rPr>
        <w:t>.</w:t>
      </w:r>
    </w:p>
    <w:p w14:paraId="451129EE" w14:textId="3715942F" w:rsidR="006F1D4C" w:rsidRPr="0059286F" w:rsidRDefault="006F1D4C" w:rsidP="0059286F">
      <w:pPr>
        <w:spacing w:before="120" w:after="0" w:line="252" w:lineRule="auto"/>
        <w:ind w:firstLine="720"/>
        <w:jc w:val="both"/>
        <w:rPr>
          <w:rFonts w:ascii="Times New Roman" w:eastAsia="Aptos" w:hAnsi="Times New Roman" w:cs="Times New Roman"/>
          <w:kern w:val="2"/>
          <w:sz w:val="28"/>
          <w:szCs w:val="28"/>
          <w:lang w:val="da-DK"/>
          <w14:ligatures w14:val="standardContextual"/>
        </w:rPr>
      </w:pPr>
      <w:r w:rsidRPr="0059286F">
        <w:rPr>
          <w:rFonts w:ascii="Times New Roman" w:eastAsia="Aptos" w:hAnsi="Times New Roman" w:cs="Times New Roman"/>
          <w:kern w:val="2"/>
          <w:sz w:val="28"/>
          <w:szCs w:val="28"/>
          <w:lang w:val="da-DK"/>
          <w14:ligatures w14:val="standardContextual"/>
        </w:rPr>
        <w:t>- Thực hiện lựa chọn nhà thầu qua mạng đối với các gói thầu mà Hệ thống mạng đấu thầu quốc gia có hỗ trợ; tăng cường kiểm soát thời gian thực hiện các bước trong quá trình lựa chọn nhà thầu, ký kết, thực hiện và quản lý hợp đồng đảm bảo đáp ứng tiến độ yêu cầu của dự án, gói thầu</w:t>
      </w:r>
      <w:r w:rsidR="00371A9D" w:rsidRPr="0059286F">
        <w:rPr>
          <w:rFonts w:ascii="Times New Roman" w:eastAsia="Aptos" w:hAnsi="Times New Roman" w:cs="Times New Roman"/>
          <w:kern w:val="2"/>
          <w:sz w:val="28"/>
          <w:szCs w:val="28"/>
          <w:lang w:val="da-DK"/>
          <w14:ligatures w14:val="standardContextual"/>
        </w:rPr>
        <w:t>.</w:t>
      </w:r>
    </w:p>
    <w:p w14:paraId="3E826721" w14:textId="77777777" w:rsidR="006F1D4C" w:rsidRPr="0059286F" w:rsidRDefault="006F1D4C" w:rsidP="0059286F">
      <w:pPr>
        <w:spacing w:before="120" w:after="0" w:line="252" w:lineRule="auto"/>
        <w:ind w:firstLine="720"/>
        <w:jc w:val="both"/>
        <w:rPr>
          <w:rFonts w:ascii="Times New Roman" w:eastAsia="Aptos" w:hAnsi="Times New Roman" w:cs="Times New Roman"/>
          <w:kern w:val="2"/>
          <w:sz w:val="28"/>
          <w:szCs w:val="28"/>
          <w14:ligatures w14:val="standardContextual"/>
        </w:rPr>
      </w:pPr>
      <w:r w:rsidRPr="0059286F">
        <w:rPr>
          <w:rFonts w:ascii="Times New Roman" w:eastAsia="Aptos" w:hAnsi="Times New Roman" w:cs="Times New Roman"/>
          <w:kern w:val="2"/>
          <w:sz w:val="28"/>
          <w:szCs w:val="28"/>
          <w14:ligatures w14:val="standardContextual"/>
        </w:rPr>
        <w:t xml:space="preserve">- Xây dựng đội ngũ làm công tác đấu thầu có năng lực chuyên môn cao; tăng cường và đa dạng hóa công tác tuyên truyền, phổ biến các quy định pháp luật về đấu thầu lựa chọn nhà thầu; quan tâm, tạo điều kiện cho các cá nhân thuộc tổ chuyên gia, tổ thẩm định tham gia các khóa bồi dưỡng kiến thức, nâng cao năng lực, nghiệp vụ thực hiện công tác đấu </w:t>
      </w:r>
      <w:proofErr w:type="gramStart"/>
      <w:r w:rsidRPr="0059286F">
        <w:rPr>
          <w:rFonts w:ascii="Times New Roman" w:eastAsia="Aptos" w:hAnsi="Times New Roman" w:cs="Times New Roman"/>
          <w:kern w:val="2"/>
          <w:sz w:val="28"/>
          <w:szCs w:val="28"/>
          <w14:ligatures w14:val="standardContextual"/>
        </w:rPr>
        <w:t>thầu;</w:t>
      </w:r>
      <w:proofErr w:type="gramEnd"/>
    </w:p>
    <w:p w14:paraId="2BBB2466" w14:textId="77777777" w:rsidR="006F1D4C" w:rsidRPr="0059286F" w:rsidRDefault="006F1D4C" w:rsidP="0059286F">
      <w:pPr>
        <w:spacing w:before="120" w:after="0" w:line="252" w:lineRule="auto"/>
        <w:ind w:firstLine="720"/>
        <w:jc w:val="both"/>
        <w:rPr>
          <w:rFonts w:ascii="Times New Roman" w:eastAsia="Aptos" w:hAnsi="Times New Roman" w:cs="Times New Roman"/>
          <w:kern w:val="2"/>
          <w:sz w:val="28"/>
          <w:szCs w:val="28"/>
          <w:lang w:val="da-DK"/>
          <w14:ligatures w14:val="standardContextual"/>
        </w:rPr>
      </w:pPr>
      <w:r w:rsidRPr="0059286F">
        <w:rPr>
          <w:rFonts w:ascii="Times New Roman" w:eastAsia="Aptos" w:hAnsi="Times New Roman" w:cs="Times New Roman"/>
          <w:kern w:val="2"/>
          <w:sz w:val="28"/>
          <w:szCs w:val="28"/>
          <w:lang w:val="da-DK"/>
          <w14:ligatures w14:val="standardContextual"/>
        </w:rPr>
        <w:t xml:space="preserve">- </w:t>
      </w:r>
      <w:r w:rsidRPr="0059286F">
        <w:rPr>
          <w:rFonts w:ascii="Times New Roman" w:eastAsia="Aptos" w:hAnsi="Times New Roman" w:cs="Times New Roman"/>
          <w:kern w:val="2"/>
          <w:sz w:val="28"/>
          <w:szCs w:val="28"/>
          <w14:ligatures w14:val="standardContextual"/>
        </w:rPr>
        <w:t>Đẩy mạnh công tác đấu tranh phòng, chống tham nhũng, tiêu cực trong công tác đấu thầu. Xây dựng và thực hiện các giải pháp phòng ngừa tham nhũng, tiêu cực trong công tác đấu thầu một cách chủ động, hiệu quả.</w:t>
      </w:r>
    </w:p>
    <w:p w14:paraId="45701480" w14:textId="4B54B471" w:rsidR="006F1D4C" w:rsidRPr="0059286F" w:rsidRDefault="006F1D4C" w:rsidP="005928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52" w:lineRule="auto"/>
        <w:ind w:firstLine="709"/>
        <w:jc w:val="both"/>
        <w:rPr>
          <w:rFonts w:ascii="Times New Roman" w:eastAsia="Aptos" w:hAnsi="Times New Roman" w:cs="Times New Roman"/>
          <w:bCs/>
          <w:i/>
          <w:iCs/>
          <w:kern w:val="2"/>
          <w:sz w:val="28"/>
          <w:szCs w:val="28"/>
          <w:lang w:val="da-DK"/>
          <w14:ligatures w14:val="standardContextual"/>
        </w:rPr>
      </w:pPr>
      <w:r w:rsidRPr="0059286F">
        <w:rPr>
          <w:rFonts w:ascii="Times New Roman" w:eastAsia="Aptos" w:hAnsi="Times New Roman" w:cs="Times New Roman"/>
          <w:bCs/>
          <w:i/>
          <w:iCs/>
          <w:kern w:val="2"/>
          <w:sz w:val="28"/>
          <w:szCs w:val="28"/>
          <w:lang w:val="pt-BR"/>
          <w14:ligatures w14:val="standardContextual"/>
        </w:rPr>
        <w:t xml:space="preserve">4.3. </w:t>
      </w:r>
      <w:r w:rsidRPr="0059286F">
        <w:rPr>
          <w:rFonts w:ascii="Times New Roman" w:eastAsia="Aptos" w:hAnsi="Times New Roman" w:cs="Times New Roman"/>
          <w:bCs/>
          <w:i/>
          <w:iCs/>
          <w:kern w:val="2"/>
          <w:sz w:val="28"/>
          <w:szCs w:val="28"/>
          <w:lang w:val="da-DK"/>
          <w14:ligatures w14:val="standardContextual"/>
        </w:rPr>
        <w:t xml:space="preserve">Đẩy mạnh công tác đấu tranh </w:t>
      </w:r>
      <w:r w:rsidR="0069403B" w:rsidRPr="0059286F">
        <w:rPr>
          <w:rFonts w:ascii="Times New Roman" w:eastAsia="Aptos" w:hAnsi="Times New Roman" w:cs="Times New Roman"/>
          <w:bCs/>
          <w:i/>
          <w:iCs/>
          <w:kern w:val="2"/>
          <w:sz w:val="28"/>
          <w:szCs w:val="28"/>
          <w:lang w:val="da-DK"/>
          <w14:ligatures w14:val="standardContextual"/>
        </w:rPr>
        <w:t>PCTN</w:t>
      </w:r>
      <w:r w:rsidRPr="0059286F">
        <w:rPr>
          <w:rFonts w:ascii="Times New Roman" w:eastAsia="Aptos" w:hAnsi="Times New Roman" w:cs="Times New Roman"/>
          <w:bCs/>
          <w:i/>
          <w:iCs/>
          <w:kern w:val="2"/>
          <w:sz w:val="28"/>
          <w:szCs w:val="28"/>
          <w:lang w:val="da-DK"/>
          <w14:ligatures w14:val="standardContextual"/>
        </w:rPr>
        <w:t>, lãng phí, tiêu cực trong công tác giám sát chuyên môn, nghiệp vụ</w:t>
      </w:r>
      <w:r w:rsidR="0069403B" w:rsidRPr="0059286F">
        <w:rPr>
          <w:rFonts w:ascii="Times New Roman" w:eastAsia="Aptos" w:hAnsi="Times New Roman" w:cs="Times New Roman"/>
          <w:bCs/>
          <w:i/>
          <w:iCs/>
          <w:kern w:val="2"/>
          <w:sz w:val="28"/>
          <w:szCs w:val="28"/>
          <w:lang w:val="da-DK"/>
          <w14:ligatures w14:val="standardContextual"/>
        </w:rPr>
        <w:t>:</w:t>
      </w:r>
    </w:p>
    <w:p w14:paraId="77CF5C39" w14:textId="77777777" w:rsidR="006F1D4C" w:rsidRPr="0059286F" w:rsidRDefault="006F1D4C" w:rsidP="005928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52" w:lineRule="auto"/>
        <w:ind w:firstLine="709"/>
        <w:jc w:val="both"/>
        <w:rPr>
          <w:rFonts w:ascii="Times New Roman" w:eastAsia="Aptos" w:hAnsi="Times New Roman" w:cs="Times New Roman"/>
          <w:bCs/>
          <w:kern w:val="2"/>
          <w:sz w:val="28"/>
          <w:szCs w:val="28"/>
          <w:lang w:val="pt-BR"/>
          <w14:ligatures w14:val="standardContextual"/>
        </w:rPr>
      </w:pPr>
      <w:r w:rsidRPr="0059286F">
        <w:rPr>
          <w:rFonts w:ascii="Times New Roman" w:eastAsia="Aptos" w:hAnsi="Times New Roman" w:cs="Times New Roman"/>
          <w:bCs/>
          <w:kern w:val="2"/>
          <w:sz w:val="28"/>
          <w:szCs w:val="28"/>
          <w:lang w:val="pt-BR"/>
          <w14:ligatures w14:val="standardContextual"/>
        </w:rPr>
        <w:lastRenderedPageBreak/>
        <w:t>- Xây dựng và triển khai các giải pháp cụ thể phòng ngừa tham nhũng, lãng phí, tiêu cực trong công tác giám sát chuyên môn nghiệp vụ trong các lĩnh vực công tác khác, triển khai đầy đủ, có hiệu quả các nhiệm vụ, giải pháp đề ra tại Nghị quyết số 313-NQ/ĐU ngày 11/7/2025 về tăng cường lãnh đạo, chỉ đạo công tác giám sát chuyên môn nghiệp vụ;</w:t>
      </w:r>
    </w:p>
    <w:p w14:paraId="6911DBDC" w14:textId="77B9108E" w:rsidR="006F1D4C" w:rsidRPr="0059286F" w:rsidRDefault="006F1D4C" w:rsidP="005928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52" w:lineRule="auto"/>
        <w:ind w:firstLine="709"/>
        <w:jc w:val="both"/>
        <w:rPr>
          <w:rFonts w:ascii="Times New Roman" w:eastAsia="Aptos" w:hAnsi="Times New Roman" w:cs="Times New Roman"/>
          <w:spacing w:val="-4"/>
          <w:kern w:val="2"/>
          <w:sz w:val="28"/>
          <w:szCs w:val="28"/>
          <w:lang w:val="pt-BR"/>
          <w14:ligatures w14:val="standardContextual"/>
        </w:rPr>
      </w:pPr>
      <w:r w:rsidRPr="0059286F">
        <w:rPr>
          <w:rFonts w:ascii="Times New Roman" w:eastAsia="Aptos" w:hAnsi="Times New Roman" w:cs="Times New Roman"/>
          <w:spacing w:val="-4"/>
          <w:kern w:val="2"/>
          <w:sz w:val="28"/>
          <w:szCs w:val="28"/>
          <w:lang w:val="pt-BR"/>
          <w14:ligatures w14:val="standardContextual"/>
        </w:rPr>
        <w:t>- Nhận diện rõ các biểu hiện, hành vi tiêu cực, "lợi ích nhóm" để có biện pháp ngăn chặn từ sớm, từ xa</w:t>
      </w:r>
      <w:r w:rsidRPr="0059286F">
        <w:rPr>
          <w:rFonts w:ascii="Times New Roman" w:eastAsia="Aptos" w:hAnsi="Times New Roman" w:cs="Times New Roman"/>
          <w:spacing w:val="-4"/>
          <w:kern w:val="2"/>
          <w:sz w:val="28"/>
          <w:szCs w:val="28"/>
          <w:lang w:val="da-DK"/>
          <w14:ligatures w14:val="standardContextual"/>
        </w:rPr>
        <w:t>; thực hiện nghiêm túc việc tiếp nhận, xác minh, làm rõ các thông tin phản ánh, kiến nghị, tố cáo về hành vi tiêu cực trong hoạt động đấu thầu, đầu tư xây dựng; xử lý nghiêm đơn vị, cá nhân liên quan thuộc phạm vi quản lý khi phát hiện hành vi tiêu cực, vi phạm quy định pháp luật và quy định của EVN về đấu thầu.</w:t>
      </w:r>
    </w:p>
    <w:p w14:paraId="6D2C6927" w14:textId="77777777" w:rsidR="006F1D4C" w:rsidRPr="0059286F" w:rsidRDefault="006F1D4C" w:rsidP="0059286F">
      <w:pPr>
        <w:spacing w:before="120" w:after="0" w:line="252" w:lineRule="auto"/>
        <w:ind w:firstLine="720"/>
        <w:jc w:val="both"/>
        <w:rPr>
          <w:rFonts w:ascii="Times New Roman" w:eastAsia="Aptos" w:hAnsi="Times New Roman" w:cs="Times New Roman"/>
          <w:b/>
          <w:bCs/>
          <w:kern w:val="2"/>
          <w:sz w:val="28"/>
          <w:szCs w:val="28"/>
          <w:lang w:val="pt-BR"/>
          <w14:ligatures w14:val="standardContextual"/>
        </w:rPr>
      </w:pPr>
      <w:r w:rsidRPr="0059286F">
        <w:rPr>
          <w:rFonts w:ascii="Times New Roman" w:eastAsia="Aptos" w:hAnsi="Times New Roman" w:cs="Times New Roman"/>
          <w:b/>
          <w:bCs/>
          <w:kern w:val="2"/>
          <w:sz w:val="28"/>
          <w:szCs w:val="28"/>
          <w:lang w:val="pt-BR"/>
          <w14:ligatures w14:val="standardContextual"/>
        </w:rPr>
        <w:t>5. Công tác sản xuất kinh doanh.</w:t>
      </w:r>
    </w:p>
    <w:p w14:paraId="5BCADC07" w14:textId="0B9B2600" w:rsidR="006F1D4C" w:rsidRPr="0059286F" w:rsidRDefault="006F1D4C" w:rsidP="0059286F">
      <w:pPr>
        <w:spacing w:before="120" w:after="0" w:line="252" w:lineRule="auto"/>
        <w:ind w:firstLine="720"/>
        <w:jc w:val="both"/>
        <w:rPr>
          <w:rFonts w:ascii="Times New Roman" w:eastAsia="Aptos" w:hAnsi="Times New Roman" w:cs="Times New Roman"/>
          <w:kern w:val="2"/>
          <w:sz w:val="28"/>
          <w:szCs w:val="28"/>
          <w:lang w:val="pt-BR"/>
          <w14:ligatures w14:val="standardContextual"/>
        </w:rPr>
      </w:pPr>
      <w:r w:rsidRPr="0059286F">
        <w:rPr>
          <w:rFonts w:ascii="Times New Roman" w:eastAsia="Aptos" w:hAnsi="Times New Roman" w:cs="Times New Roman"/>
          <w:i/>
          <w:iCs/>
          <w:kern w:val="2"/>
          <w:sz w:val="28"/>
          <w:szCs w:val="28"/>
          <w:lang w:val="pt-BR"/>
          <w14:ligatures w14:val="standardContextual"/>
        </w:rPr>
        <w:t>5.1. Trong công tác sản xuất, kinh doanh bán điện:</w:t>
      </w:r>
      <w:r w:rsidRPr="0059286F">
        <w:rPr>
          <w:rFonts w:ascii="Times New Roman" w:eastAsia="Aptos" w:hAnsi="Times New Roman" w:cs="Times New Roman"/>
          <w:kern w:val="2"/>
          <w:sz w:val="28"/>
          <w:szCs w:val="28"/>
          <w:lang w:val="pt-BR"/>
          <w14:ligatures w14:val="standardContextual"/>
        </w:rPr>
        <w:t xml:space="preserve"> </w:t>
      </w:r>
      <w:r w:rsidR="00750B54" w:rsidRPr="0059286F">
        <w:rPr>
          <w:rFonts w:ascii="Times New Roman" w:eastAsia="Aptos" w:hAnsi="Times New Roman" w:cs="Times New Roman"/>
          <w:kern w:val="2"/>
          <w:sz w:val="28"/>
          <w:szCs w:val="28"/>
          <w:lang w:val="pt-BR"/>
          <w14:ligatures w14:val="standardContextual"/>
        </w:rPr>
        <w:t>t</w:t>
      </w:r>
      <w:r w:rsidRPr="0059286F">
        <w:rPr>
          <w:rFonts w:ascii="Times New Roman" w:eastAsia="Aptos" w:hAnsi="Times New Roman" w:cs="Times New Roman"/>
          <w:kern w:val="2"/>
          <w:sz w:val="28"/>
          <w:szCs w:val="28"/>
          <w:lang w:val="pt-BR"/>
          <w14:ligatures w14:val="standardContextual"/>
        </w:rPr>
        <w:t xml:space="preserve">ăng cường các giải pháp kỹ thuật và giải pháp quản lý để phấn đấu giảm tỷ lệ tổn thất điện năng, giảm thời gian mất điện bình quân của một khách hàng trong năm. </w:t>
      </w:r>
    </w:p>
    <w:p w14:paraId="1067D0E3" w14:textId="5A0D8466" w:rsidR="006F1D4C" w:rsidRPr="0059286F" w:rsidRDefault="006F1D4C" w:rsidP="0059286F">
      <w:pPr>
        <w:spacing w:before="120" w:after="0" w:line="252" w:lineRule="auto"/>
        <w:ind w:firstLine="720"/>
        <w:jc w:val="both"/>
        <w:rPr>
          <w:rFonts w:ascii="Times New Roman" w:eastAsia="Aptos" w:hAnsi="Times New Roman" w:cs="Times New Roman"/>
          <w:b/>
          <w:bCs/>
          <w:kern w:val="2"/>
          <w:sz w:val="28"/>
          <w:szCs w:val="28"/>
          <w:lang w:val="pt-BR"/>
          <w14:ligatures w14:val="standardContextual"/>
        </w:rPr>
      </w:pPr>
      <w:r w:rsidRPr="0059286F">
        <w:rPr>
          <w:rFonts w:ascii="Times New Roman" w:eastAsia="Aptos" w:hAnsi="Times New Roman" w:cs="Times New Roman"/>
          <w:i/>
          <w:iCs/>
          <w:kern w:val="2"/>
          <w:sz w:val="28"/>
          <w:szCs w:val="28"/>
          <w:lang w:val="pt-BR"/>
          <w14:ligatures w14:val="standardContextual"/>
        </w:rPr>
        <w:t>5.2. T</w:t>
      </w:r>
      <w:r w:rsidRPr="0059286F">
        <w:rPr>
          <w:rFonts w:ascii="Times New Roman" w:eastAsia="Calibri" w:hAnsi="Times New Roman" w:cs="Times New Roman"/>
          <w:i/>
          <w:iCs/>
          <w:sz w:val="28"/>
          <w:szCs w:val="28"/>
          <w:lang w:val="de-DE"/>
        </w:rPr>
        <w:t>rong việc tổ chức hội nghị:</w:t>
      </w:r>
      <w:r w:rsidRPr="0059286F">
        <w:rPr>
          <w:rFonts w:ascii="Times New Roman" w:eastAsia="Calibri" w:hAnsi="Times New Roman" w:cs="Times New Roman"/>
          <w:iCs/>
          <w:sz w:val="28"/>
          <w:szCs w:val="28"/>
          <w:lang w:val="de-DE"/>
        </w:rPr>
        <w:t xml:space="preserve"> </w:t>
      </w:r>
      <w:r w:rsidR="00750B54" w:rsidRPr="0059286F">
        <w:rPr>
          <w:rFonts w:ascii="Times New Roman" w:eastAsia="Calibri" w:hAnsi="Times New Roman" w:cs="Times New Roman"/>
          <w:iCs/>
          <w:sz w:val="28"/>
          <w:szCs w:val="28"/>
          <w:lang w:val="de-DE"/>
        </w:rPr>
        <w:t>g</w:t>
      </w:r>
      <w:r w:rsidRPr="0059286F">
        <w:rPr>
          <w:rFonts w:ascii="Times New Roman" w:eastAsia="Calibri" w:hAnsi="Times New Roman" w:cs="Times New Roman"/>
          <w:iCs/>
          <w:sz w:val="28"/>
          <w:szCs w:val="28"/>
          <w:lang w:val="de-DE"/>
        </w:rPr>
        <w:t>iảm tần suất tổ chức các hội nghị; tăng cường tổ chức họp trực tuyến, bố trí hợp lý thời gian tổ chức các hội nghị có cùng thành phần, rút ngắn thời gian hội nghị, hạn chế tổ chức chiêu đãi, tặng quà khi tổ chức hội nghị, không kết hợp tổ chức hội nghị với tham quan, nghỉ mát</w:t>
      </w:r>
      <w:r w:rsidRPr="0059286F">
        <w:rPr>
          <w:rFonts w:ascii="Times New Roman" w:eastAsia="Calibri" w:hAnsi="Times New Roman" w:cs="Times New Roman"/>
          <w:iCs/>
          <w:sz w:val="28"/>
          <w:szCs w:val="28"/>
          <w:lang w:val="vi-VN"/>
        </w:rPr>
        <w:t>.</w:t>
      </w:r>
      <w:r w:rsidRPr="0059286F">
        <w:rPr>
          <w:rFonts w:ascii="Times New Roman" w:eastAsia="Aptos" w:hAnsi="Times New Roman" w:cs="Times New Roman"/>
          <w:b/>
          <w:bCs/>
          <w:kern w:val="2"/>
          <w:sz w:val="28"/>
          <w:szCs w:val="28"/>
          <w:lang w:val="pt-BR"/>
          <w14:ligatures w14:val="standardContextual"/>
        </w:rPr>
        <w:t xml:space="preserve"> </w:t>
      </w:r>
    </w:p>
    <w:p w14:paraId="79C54DDB" w14:textId="539D11F3" w:rsidR="006F1D4C" w:rsidRPr="0059286F" w:rsidRDefault="006F1D4C" w:rsidP="0059286F">
      <w:pPr>
        <w:spacing w:before="120" w:after="0" w:line="252" w:lineRule="auto"/>
        <w:ind w:firstLine="720"/>
        <w:jc w:val="both"/>
        <w:rPr>
          <w:rFonts w:ascii="Times New Roman" w:eastAsia="Times New Roman" w:hAnsi="Times New Roman" w:cs="Times New Roman"/>
          <w:iCs/>
          <w:sz w:val="28"/>
          <w:szCs w:val="28"/>
          <w:lang w:val="de-DE"/>
        </w:rPr>
      </w:pPr>
      <w:r w:rsidRPr="0059286F">
        <w:rPr>
          <w:rFonts w:ascii="Times New Roman" w:eastAsia="Aptos" w:hAnsi="Times New Roman" w:cs="Times New Roman"/>
          <w:i/>
          <w:iCs/>
          <w:kern w:val="2"/>
          <w:sz w:val="28"/>
          <w:szCs w:val="28"/>
          <w:lang w:val="pt-BR"/>
          <w14:ligatures w14:val="standardContextual"/>
        </w:rPr>
        <w:t>5.3. Tổ chức học tập tại nước ngoài:</w:t>
      </w:r>
      <w:r w:rsidRPr="0059286F">
        <w:rPr>
          <w:rFonts w:ascii="Times New Roman" w:eastAsia="Aptos" w:hAnsi="Times New Roman" w:cs="Times New Roman"/>
          <w:b/>
          <w:bCs/>
          <w:kern w:val="2"/>
          <w:sz w:val="28"/>
          <w:szCs w:val="28"/>
          <w:lang w:val="pt-BR"/>
          <w14:ligatures w14:val="standardContextual"/>
        </w:rPr>
        <w:t xml:space="preserve"> </w:t>
      </w:r>
      <w:r w:rsidR="00750B54" w:rsidRPr="0059286F">
        <w:rPr>
          <w:rFonts w:ascii="Times New Roman" w:eastAsia="Aptos" w:hAnsi="Times New Roman" w:cs="Times New Roman"/>
          <w:kern w:val="2"/>
          <w:sz w:val="28"/>
          <w:szCs w:val="28"/>
          <w:lang w:val="pt-BR"/>
          <w14:ligatures w14:val="standardContextual"/>
        </w:rPr>
        <w:t>c</w:t>
      </w:r>
      <w:r w:rsidRPr="0059286F">
        <w:rPr>
          <w:rFonts w:ascii="Times New Roman" w:eastAsia="Times New Roman" w:hAnsi="Times New Roman" w:cs="Times New Roman"/>
          <w:iCs/>
          <w:sz w:val="28"/>
          <w:szCs w:val="28"/>
          <w:lang w:val="de-DE"/>
        </w:rPr>
        <w:t>ác đoàn đi khảo sát, học tập ở nước ngoài phải có nội dung thiết thực, không trùng lắp, đúng thành phần, không kết hợp khảo sát học tập ở nước ngoài với giải quyết chính sách, kết hợp tham quan, du lịch.</w:t>
      </w:r>
    </w:p>
    <w:p w14:paraId="4324F92E" w14:textId="7C04B777" w:rsidR="003A40D4" w:rsidRPr="0059286F" w:rsidRDefault="006F1D4C" w:rsidP="0059286F">
      <w:pPr>
        <w:spacing w:before="120" w:after="0" w:line="252" w:lineRule="auto"/>
        <w:ind w:firstLine="720"/>
        <w:jc w:val="both"/>
        <w:rPr>
          <w:rFonts w:ascii="Times New Roman" w:eastAsia="Aptos" w:hAnsi="Times New Roman" w:cs="Times New Roman"/>
          <w:color w:val="000000"/>
          <w:kern w:val="2"/>
          <w:sz w:val="28"/>
          <w:szCs w:val="28"/>
          <w:lang w:val="da-DK"/>
          <w14:ligatures w14:val="standardContextual"/>
        </w:rPr>
      </w:pPr>
      <w:r w:rsidRPr="0059286F">
        <w:rPr>
          <w:rFonts w:ascii="Times New Roman" w:eastAsia="Times New Roman" w:hAnsi="Times New Roman" w:cs="Times New Roman"/>
          <w:i/>
          <w:sz w:val="28"/>
          <w:szCs w:val="28"/>
          <w:lang w:val="de-DE"/>
        </w:rPr>
        <w:t>5.4. Mua sắm trang thiết bị làm việc:</w:t>
      </w:r>
      <w:r w:rsidRPr="0059286F">
        <w:rPr>
          <w:rFonts w:ascii="Times New Roman" w:eastAsia="Times New Roman" w:hAnsi="Times New Roman" w:cs="Times New Roman"/>
          <w:b/>
          <w:bCs/>
          <w:i/>
          <w:sz w:val="28"/>
          <w:szCs w:val="28"/>
          <w:lang w:val="de-DE"/>
        </w:rPr>
        <w:t xml:space="preserve"> </w:t>
      </w:r>
      <w:r w:rsidR="00750B54" w:rsidRPr="0059286F">
        <w:rPr>
          <w:rFonts w:ascii="Times New Roman" w:eastAsia="Aptos" w:hAnsi="Times New Roman" w:cs="Times New Roman"/>
          <w:iCs/>
          <w:kern w:val="2"/>
          <w:sz w:val="28"/>
          <w:szCs w:val="28"/>
          <w:lang w:val="de-DE"/>
          <w14:ligatures w14:val="standardContextual"/>
        </w:rPr>
        <w:t>k</w:t>
      </w:r>
      <w:r w:rsidRPr="0059286F">
        <w:rPr>
          <w:rFonts w:ascii="Times New Roman" w:eastAsia="Aptos" w:hAnsi="Times New Roman" w:cs="Times New Roman"/>
          <w:iCs/>
          <w:kern w:val="2"/>
          <w:sz w:val="28"/>
          <w:szCs w:val="28"/>
          <w:lang w:val="de-DE"/>
          <w14:ligatures w14:val="standardContextual"/>
        </w:rPr>
        <w:t>hông mua sắm trang thiết bị làm việc đắt tiền, lãng phí; tuân thủ các quy định pháp luật đấu thầu, quy chế đấu thầu của EVN về mua sắm tài sản, hàng hóa phục vụ hoạt động sản xuất kinh doanh; thực hiện đúng định mức sử dụng xe ô tô, điện thoại và trang thiết bị làm việc theo quy định của Thủ tướng</w:t>
      </w:r>
      <w:r w:rsidRPr="0059286F">
        <w:rPr>
          <w:rFonts w:ascii="Times New Roman" w:eastAsia="Aptos" w:hAnsi="Times New Roman" w:cs="Times New Roman"/>
          <w:color w:val="000000"/>
          <w:kern w:val="2"/>
          <w:sz w:val="28"/>
          <w:szCs w:val="28"/>
          <w:lang w:val="da-DK"/>
          <w14:ligatures w14:val="standardContextual"/>
        </w:rPr>
        <w:t xml:space="preserve"> Chính phủ và Tập đoàn.</w:t>
      </w:r>
    </w:p>
    <w:p w14:paraId="0160A38A" w14:textId="77777777" w:rsidR="006F1D4C" w:rsidRPr="0059286F" w:rsidRDefault="006F1D4C" w:rsidP="0059286F">
      <w:pPr>
        <w:spacing w:before="120" w:after="0" w:line="252" w:lineRule="auto"/>
        <w:ind w:firstLine="720"/>
        <w:jc w:val="both"/>
        <w:rPr>
          <w:rFonts w:ascii="Times New Roman" w:eastAsia="SimSun" w:hAnsi="Times New Roman" w:cs="Times New Roman"/>
          <w:b/>
          <w:sz w:val="28"/>
          <w:szCs w:val="28"/>
          <w:lang w:val="da-DK" w:eastAsia="zh-CN"/>
        </w:rPr>
      </w:pPr>
      <w:r w:rsidRPr="0059286F">
        <w:rPr>
          <w:rFonts w:ascii="Times New Roman" w:eastAsia="SimSun" w:hAnsi="Times New Roman" w:cs="Times New Roman"/>
          <w:b/>
          <w:sz w:val="28"/>
          <w:szCs w:val="28"/>
          <w:lang w:val="da-DK" w:eastAsia="zh-CN"/>
        </w:rPr>
        <w:t>6. Chuyển đổi số</w:t>
      </w:r>
    </w:p>
    <w:p w14:paraId="736E8B32" w14:textId="15C64AE5" w:rsidR="006F1D4C" w:rsidRPr="0059286F" w:rsidRDefault="006F1D4C" w:rsidP="0059286F">
      <w:pPr>
        <w:spacing w:before="120" w:after="0" w:line="252" w:lineRule="auto"/>
        <w:ind w:firstLine="720"/>
        <w:jc w:val="both"/>
        <w:rPr>
          <w:rFonts w:ascii="Times New Roman" w:eastAsia="Aptos" w:hAnsi="Times New Roman" w:cs="Times New Roman"/>
          <w:kern w:val="2"/>
          <w:sz w:val="28"/>
          <w:szCs w:val="28"/>
          <w:lang w:val="da-DK"/>
          <w14:ligatures w14:val="standardContextual"/>
        </w:rPr>
      </w:pPr>
      <w:r w:rsidRPr="0059286F">
        <w:rPr>
          <w:rFonts w:ascii="Times New Roman" w:eastAsia="Aptos" w:hAnsi="Times New Roman" w:cs="Times New Roman"/>
          <w:kern w:val="2"/>
          <w:sz w:val="28"/>
          <w:szCs w:val="28"/>
          <w:lang w:val="da-DK"/>
          <w14:ligatures w14:val="standardContextual"/>
        </w:rPr>
        <w:t>-</w:t>
      </w:r>
      <w:r w:rsidRPr="0059286F">
        <w:rPr>
          <w:rFonts w:ascii="Times New Roman" w:eastAsia="Aptos" w:hAnsi="Times New Roman" w:cs="Times New Roman"/>
          <w:b/>
          <w:bCs/>
          <w:kern w:val="2"/>
          <w:sz w:val="28"/>
          <w:szCs w:val="28"/>
          <w:lang w:val="da-DK"/>
          <w14:ligatures w14:val="standardContextual"/>
        </w:rPr>
        <w:t xml:space="preserve"> </w:t>
      </w:r>
      <w:r w:rsidRPr="0059286F">
        <w:rPr>
          <w:rFonts w:ascii="Times New Roman" w:eastAsia="Aptos" w:hAnsi="Times New Roman" w:cs="Times New Roman"/>
          <w:kern w:val="2"/>
          <w:sz w:val="28"/>
          <w:szCs w:val="28"/>
          <w:lang w:val="da-DK"/>
          <w14:ligatures w14:val="standardContextual"/>
        </w:rPr>
        <w:t xml:space="preserve">Ứng dụng công nghệ thông tin, số hóa quy trình quản trị, điều hành và các giao dịch tài chính </w:t>
      </w:r>
      <w:r w:rsidRPr="0059286F">
        <w:rPr>
          <w:rFonts w:ascii="Times New Roman" w:eastAsia="Aptos" w:hAnsi="Times New Roman" w:cs="Times New Roman"/>
          <w:i/>
          <w:iCs/>
          <w:kern w:val="2"/>
          <w:sz w:val="28"/>
          <w:szCs w:val="28"/>
          <w:lang w:val="da-DK"/>
          <w14:ligatures w14:val="standardContextual"/>
        </w:rPr>
        <w:t>(thanh toán không dùng tiền mặt, chi trả qua tài khoản)</w:t>
      </w:r>
      <w:r w:rsidRPr="0059286F">
        <w:rPr>
          <w:rFonts w:ascii="Times New Roman" w:eastAsia="Aptos" w:hAnsi="Times New Roman" w:cs="Times New Roman"/>
          <w:kern w:val="2"/>
          <w:sz w:val="28"/>
          <w:szCs w:val="28"/>
          <w:lang w:val="da-DK"/>
          <w14:ligatures w14:val="standardContextual"/>
        </w:rPr>
        <w:t xml:space="preserve"> nhằm tăng cường minh bạch và giảm thiểu sự can thiệp của con người</w:t>
      </w:r>
      <w:r w:rsidR="009D1904" w:rsidRPr="0059286F">
        <w:rPr>
          <w:rFonts w:ascii="Times New Roman" w:eastAsia="Aptos" w:hAnsi="Times New Roman" w:cs="Times New Roman"/>
          <w:kern w:val="2"/>
          <w:sz w:val="28"/>
          <w:szCs w:val="28"/>
          <w:lang w:val="da-DK"/>
          <w14:ligatures w14:val="standardContextual"/>
        </w:rPr>
        <w:t>.</w:t>
      </w:r>
    </w:p>
    <w:p w14:paraId="72DEE17E" w14:textId="77777777" w:rsidR="006F1D4C" w:rsidRPr="0059286F" w:rsidRDefault="006F1D4C" w:rsidP="0059286F">
      <w:pPr>
        <w:spacing w:before="120" w:after="0" w:line="252" w:lineRule="auto"/>
        <w:ind w:firstLine="720"/>
        <w:jc w:val="both"/>
        <w:rPr>
          <w:rFonts w:ascii="Times New Roman" w:eastAsia="Aptos" w:hAnsi="Times New Roman" w:cs="Times New Roman"/>
          <w:kern w:val="2"/>
          <w:sz w:val="28"/>
          <w:szCs w:val="28"/>
          <w:lang w:val="da-DK"/>
          <w14:ligatures w14:val="standardContextual"/>
        </w:rPr>
      </w:pPr>
      <w:r w:rsidRPr="0059286F">
        <w:rPr>
          <w:rFonts w:ascii="Times New Roman" w:eastAsia="Aptos" w:hAnsi="Times New Roman" w:cs="Times New Roman"/>
          <w:kern w:val="2"/>
          <w:sz w:val="28"/>
          <w:szCs w:val="28"/>
          <w:lang w:val="da-DK"/>
          <w14:ligatures w14:val="standardContextual"/>
        </w:rPr>
        <w:t>-</w:t>
      </w:r>
      <w:r w:rsidRPr="0059286F">
        <w:rPr>
          <w:rFonts w:ascii="Times New Roman" w:eastAsia="Aptos" w:hAnsi="Times New Roman" w:cs="Times New Roman"/>
          <w:b/>
          <w:bCs/>
          <w:kern w:val="2"/>
          <w:sz w:val="28"/>
          <w:szCs w:val="28"/>
          <w:lang w:val="da-DK"/>
          <w14:ligatures w14:val="standardContextual"/>
        </w:rPr>
        <w:t xml:space="preserve"> </w:t>
      </w:r>
      <w:r w:rsidRPr="0059286F">
        <w:rPr>
          <w:rFonts w:ascii="Times New Roman" w:eastAsia="Aptos" w:hAnsi="Times New Roman" w:cs="Times New Roman"/>
          <w:kern w:val="2"/>
          <w:sz w:val="28"/>
          <w:szCs w:val="28"/>
          <w:lang w:val="da-DK"/>
          <w14:ligatures w14:val="standardContextual"/>
        </w:rPr>
        <w:t>Thực hiện nghiêm túc việc công khai, minh bạch các hoạt động của cơ quan, đơn vị, đặc biệt trong các lĩnh vực tài chính, đầu tư, mua sắm, đấu thầu theo Luật PCTN. Số hóa hệ thống văn bản nội bộ của Tập đoàn và công khai trên Cổng/Trang thông tin điện tử của Tập đoàn.</w:t>
      </w:r>
    </w:p>
    <w:p w14:paraId="6B7D8C8B" w14:textId="77777777" w:rsidR="006F1D4C" w:rsidRPr="0059286F" w:rsidRDefault="006F1D4C" w:rsidP="005928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52" w:lineRule="auto"/>
        <w:ind w:firstLine="709"/>
        <w:rPr>
          <w:rFonts w:ascii="Times New Roman" w:eastAsia="Aptos" w:hAnsi="Times New Roman" w:cs="Times New Roman"/>
          <w:b/>
          <w:bCs/>
          <w:color w:val="000000"/>
          <w:sz w:val="28"/>
          <w:szCs w:val="28"/>
          <w:lang w:val="da-DK"/>
          <w14:ligatures w14:val="standardContextual"/>
        </w:rPr>
      </w:pPr>
      <w:r w:rsidRPr="0059286F">
        <w:rPr>
          <w:rFonts w:ascii="Times New Roman" w:eastAsia="Aptos" w:hAnsi="Times New Roman" w:cs="Times New Roman"/>
          <w:b/>
          <w:bCs/>
          <w:kern w:val="2"/>
          <w:sz w:val="28"/>
          <w:szCs w:val="28"/>
          <w:lang w:val="da-DK"/>
          <w14:ligatures w14:val="standardContextual"/>
        </w:rPr>
        <w:t xml:space="preserve">7. </w:t>
      </w:r>
      <w:r w:rsidRPr="0059286F">
        <w:rPr>
          <w:rFonts w:ascii="Times New Roman" w:eastAsia="Aptos" w:hAnsi="Times New Roman" w:cs="Times New Roman"/>
          <w:b/>
          <w:bCs/>
          <w:color w:val="000000"/>
          <w:sz w:val="28"/>
          <w:szCs w:val="28"/>
          <w:lang w:val="da-DK"/>
          <w14:ligatures w14:val="standardContextual"/>
        </w:rPr>
        <w:t>Công tác kiểm tra và xử lý vi phạm</w:t>
      </w:r>
    </w:p>
    <w:p w14:paraId="4A858E62" w14:textId="77777777" w:rsidR="006F1D4C" w:rsidRPr="0059286F" w:rsidRDefault="006F1D4C" w:rsidP="005928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52" w:lineRule="auto"/>
        <w:ind w:firstLine="709"/>
        <w:jc w:val="both"/>
        <w:rPr>
          <w:rFonts w:ascii="Times New Roman" w:eastAsia="Aptos" w:hAnsi="Times New Roman" w:cs="Times New Roman"/>
          <w:color w:val="000000"/>
          <w:sz w:val="28"/>
          <w:szCs w:val="28"/>
          <w:lang w:val="da-DK"/>
          <w14:ligatures w14:val="standardContextual"/>
        </w:rPr>
      </w:pPr>
      <w:r w:rsidRPr="0059286F">
        <w:rPr>
          <w:rFonts w:ascii="Times New Roman" w:eastAsia="Aptos" w:hAnsi="Times New Roman" w:cs="Times New Roman"/>
          <w:color w:val="000000"/>
          <w:sz w:val="28"/>
          <w:szCs w:val="28"/>
          <w:lang w:val="da-DK"/>
          <w14:ligatures w14:val="standardContextual"/>
        </w:rPr>
        <w:t xml:space="preserve">- Tăng cường và nâng cao chất lượng, hiệu quả công tác kiểm tra thường xuyên, định kỳ, đột xuất của các cấp đối với việc tổ chức thực hiện các quy định của </w:t>
      </w:r>
      <w:r w:rsidRPr="0059286F">
        <w:rPr>
          <w:rFonts w:ascii="Times New Roman" w:eastAsia="Aptos" w:hAnsi="Times New Roman" w:cs="Times New Roman"/>
          <w:color w:val="000000"/>
          <w:sz w:val="28"/>
          <w:szCs w:val="28"/>
          <w:lang w:val="da-DK"/>
          <w14:ligatures w14:val="standardContextual"/>
        </w:rPr>
        <w:lastRenderedPageBreak/>
        <w:t>Đảng, pháp luật của Nhà nước và các văn bản chỉ đạo của Tập đoàn về công tác PCTN, LP, TC.</w:t>
      </w:r>
    </w:p>
    <w:p w14:paraId="00B41002" w14:textId="7333E8B0" w:rsidR="006F1D4C" w:rsidRPr="0059286F" w:rsidRDefault="006F1D4C" w:rsidP="005928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52" w:lineRule="auto"/>
        <w:ind w:firstLine="709"/>
        <w:jc w:val="both"/>
        <w:rPr>
          <w:rFonts w:ascii="Times New Roman" w:eastAsia="Aptos" w:hAnsi="Times New Roman" w:cs="Times New Roman"/>
          <w:color w:val="000000"/>
          <w:sz w:val="28"/>
          <w:szCs w:val="28"/>
          <w:lang w:val="da-DK"/>
          <w14:ligatures w14:val="standardContextual"/>
        </w:rPr>
      </w:pPr>
      <w:r w:rsidRPr="0059286F">
        <w:rPr>
          <w:rFonts w:ascii="Times New Roman" w:eastAsia="Aptos" w:hAnsi="Times New Roman" w:cs="Times New Roman"/>
          <w:color w:val="000000"/>
          <w:sz w:val="28"/>
          <w:szCs w:val="28"/>
          <w:lang w:val="da-DK"/>
          <w14:ligatures w14:val="standardContextual"/>
        </w:rPr>
        <w:t>- Tăng cường kiểm tra những lĩnh vực dễ phát sinh tiêu cực, rủi ro, đặc biệt trong công tác đấu thầu phải lưu ý các gói thầu có giá trị lớn, tính chất phức tạp, dư luận quan tâm, có ít nhà thầu tham gia hoặc tỷ lệ tiết kiệm thấp...</w:t>
      </w:r>
    </w:p>
    <w:p w14:paraId="16D6DE5E" w14:textId="77777777" w:rsidR="006F1D4C" w:rsidRPr="0059286F" w:rsidRDefault="006F1D4C" w:rsidP="005928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52" w:lineRule="auto"/>
        <w:ind w:firstLine="709"/>
        <w:jc w:val="both"/>
        <w:rPr>
          <w:rFonts w:ascii="Times New Roman" w:eastAsia="Aptos" w:hAnsi="Times New Roman" w:cs="Times New Roman"/>
          <w:color w:val="000000"/>
          <w:sz w:val="28"/>
          <w:szCs w:val="28"/>
          <w:lang w:val="da-DK"/>
          <w14:ligatures w14:val="standardContextual"/>
        </w:rPr>
      </w:pPr>
      <w:r w:rsidRPr="0059286F">
        <w:rPr>
          <w:rFonts w:ascii="Times New Roman" w:eastAsia="Aptos" w:hAnsi="Times New Roman" w:cs="Times New Roman"/>
          <w:color w:val="000000"/>
          <w:sz w:val="28"/>
          <w:szCs w:val="28"/>
          <w:lang w:val="da-DK"/>
          <w14:ligatures w14:val="standardContextual"/>
        </w:rPr>
        <w:t>- Kiên quyết xử lý nghiêm, kịp thời đối với các tổ chức, cá nhân có hành vi vi phạm các quy định của Luật PCTN, có hành vi tham nhũng, tiêu cực theo quy định của Đảng và pháp luật Nhà nước. Kịp thời công khai thông tin về các trường hợp xử lý vi phạm trên các phương tiện thông tin đại chúng.</w:t>
      </w:r>
    </w:p>
    <w:p w14:paraId="4C1D741F" w14:textId="77777777" w:rsidR="006F1D4C" w:rsidRPr="0059286F" w:rsidRDefault="006F1D4C" w:rsidP="0059286F">
      <w:pPr>
        <w:spacing w:before="120" w:after="0" w:line="252" w:lineRule="auto"/>
        <w:ind w:firstLine="709"/>
        <w:jc w:val="both"/>
        <w:rPr>
          <w:rFonts w:ascii="Times New Roman" w:eastAsia="Times New Roman" w:hAnsi="Times New Roman" w:cs="Times New Roman"/>
          <w:sz w:val="28"/>
          <w:szCs w:val="28"/>
          <w:lang w:val="da-DK"/>
        </w:rPr>
      </w:pPr>
      <w:r w:rsidRPr="0059286F">
        <w:rPr>
          <w:rFonts w:ascii="Times New Roman" w:eastAsia="Times New Roman" w:hAnsi="Times New Roman" w:cs="Times New Roman"/>
          <w:sz w:val="28"/>
          <w:szCs w:val="28"/>
          <w:lang w:val="da-DK"/>
        </w:rPr>
        <w:t>- Tổ chức thực hiện có hiệu quả, chất lượng Kế hoạch Kiểm tra, thanh tra; Xử lý, giải quyết khiếu nại, tố cáo; công tác Bảo vệ và Quốc phòng hàng năm;</w:t>
      </w:r>
    </w:p>
    <w:p w14:paraId="20FCA28A" w14:textId="77777777" w:rsidR="006F1D4C" w:rsidRPr="0059286F" w:rsidRDefault="006F1D4C" w:rsidP="0059286F">
      <w:pPr>
        <w:spacing w:before="120" w:after="0" w:line="252" w:lineRule="auto"/>
        <w:ind w:firstLine="709"/>
        <w:jc w:val="both"/>
        <w:rPr>
          <w:rFonts w:ascii="Times New Roman" w:eastAsia="Times New Roman" w:hAnsi="Times New Roman" w:cs="Times New Roman"/>
          <w:b/>
          <w:iCs/>
          <w:sz w:val="28"/>
          <w:szCs w:val="28"/>
          <w:lang w:val="da-DK"/>
        </w:rPr>
      </w:pPr>
      <w:r w:rsidRPr="0059286F">
        <w:rPr>
          <w:rFonts w:ascii="Times New Roman" w:eastAsia="Times New Roman" w:hAnsi="Times New Roman" w:cs="Times New Roman"/>
          <w:sz w:val="28"/>
          <w:szCs w:val="28"/>
          <w:lang w:val="da-DK"/>
        </w:rPr>
        <w:t>- Kịp thời xử lý, giải quyết các khiếu nại, tố cáo</w:t>
      </w:r>
      <w:r w:rsidRPr="0059286F">
        <w:rPr>
          <w:rFonts w:ascii="Times New Roman" w:eastAsia="Times New Roman" w:hAnsi="Times New Roman" w:cs="Times New Roman"/>
          <w:sz w:val="28"/>
          <w:szCs w:val="28"/>
          <w:lang w:val="vi-VN"/>
        </w:rPr>
        <w:t xml:space="preserve"> của</w:t>
      </w:r>
      <w:r w:rsidRPr="0059286F">
        <w:rPr>
          <w:rFonts w:ascii="Times New Roman" w:eastAsia="Times New Roman" w:hAnsi="Times New Roman" w:cs="Times New Roman"/>
          <w:sz w:val="28"/>
          <w:szCs w:val="28"/>
          <w:lang w:val="da-DK"/>
        </w:rPr>
        <w:t xml:space="preserve"> CBCNV và công dân, qua đó có các biện pháp chấn chỉnh việc chấp hành chỉ thị, nghị quyết, chính sách pháp luật, thực hiện quy chế dân chủ cơ sở tại đơn vị; đấu tranh phòng ngừa, ngăn chặn các hiện tượng tham nhũng, lãng phí, tiêu cực;</w:t>
      </w:r>
    </w:p>
    <w:p w14:paraId="16F45F0D" w14:textId="77777777" w:rsidR="006F1D4C" w:rsidRPr="0059286F" w:rsidRDefault="006F1D4C" w:rsidP="0059286F">
      <w:pPr>
        <w:spacing w:before="120" w:after="0" w:line="252" w:lineRule="auto"/>
        <w:ind w:firstLine="709"/>
        <w:jc w:val="both"/>
        <w:rPr>
          <w:rFonts w:ascii="Times New Roman" w:eastAsia="SimSun" w:hAnsi="Times New Roman" w:cs="Times New Roman"/>
          <w:b/>
          <w:bCs/>
          <w:i/>
          <w:iCs/>
          <w:sz w:val="28"/>
          <w:szCs w:val="28"/>
          <w:lang w:val="da-DK" w:eastAsia="zh-CN"/>
        </w:rPr>
      </w:pPr>
      <w:r w:rsidRPr="0059286F">
        <w:rPr>
          <w:rFonts w:ascii="Times New Roman" w:eastAsia="Times New Roman" w:hAnsi="Times New Roman" w:cs="Times New Roman"/>
          <w:color w:val="000000"/>
          <w:sz w:val="28"/>
          <w:szCs w:val="28"/>
          <w:lang w:val="da-DK" w:eastAsia="vi-VN"/>
        </w:rPr>
        <w:t xml:space="preserve">- </w:t>
      </w:r>
      <w:r w:rsidRPr="0059286F">
        <w:rPr>
          <w:rFonts w:ascii="Times New Roman" w:eastAsia="Times New Roman" w:hAnsi="Times New Roman" w:cs="Times New Roman"/>
          <w:color w:val="000000"/>
          <w:sz w:val="28"/>
          <w:szCs w:val="28"/>
          <w:lang w:val="vi-VN" w:eastAsia="vi-VN"/>
        </w:rPr>
        <w:t>Kịp thời kiểm tra</w:t>
      </w:r>
      <w:r w:rsidRPr="0059286F">
        <w:rPr>
          <w:rFonts w:ascii="Times New Roman" w:eastAsia="Times New Roman" w:hAnsi="Times New Roman" w:cs="Times New Roman"/>
          <w:color w:val="000000"/>
          <w:sz w:val="28"/>
          <w:szCs w:val="28"/>
          <w:lang w:val="da-DK" w:eastAsia="vi-VN"/>
        </w:rPr>
        <w:t>,</w:t>
      </w:r>
      <w:r w:rsidRPr="0059286F">
        <w:rPr>
          <w:rFonts w:ascii="Times New Roman" w:eastAsia="Times New Roman" w:hAnsi="Times New Roman" w:cs="Times New Roman"/>
          <w:color w:val="000000"/>
          <w:sz w:val="28"/>
          <w:szCs w:val="28"/>
          <w:lang w:val="vi-VN" w:eastAsia="vi-VN"/>
        </w:rPr>
        <w:t xml:space="preserve"> xác minh đối v</w:t>
      </w:r>
      <w:r w:rsidRPr="0059286F">
        <w:rPr>
          <w:rFonts w:ascii="Times New Roman" w:eastAsia="Times New Roman" w:hAnsi="Times New Roman" w:cs="Times New Roman"/>
          <w:color w:val="000000"/>
          <w:sz w:val="28"/>
          <w:szCs w:val="28"/>
          <w:lang w:val="da-DK" w:eastAsia="vi-VN"/>
        </w:rPr>
        <w:t>ớ</w:t>
      </w:r>
      <w:r w:rsidRPr="0059286F">
        <w:rPr>
          <w:rFonts w:ascii="Times New Roman" w:eastAsia="Times New Roman" w:hAnsi="Times New Roman" w:cs="Times New Roman"/>
          <w:color w:val="000000"/>
          <w:sz w:val="28"/>
          <w:szCs w:val="28"/>
          <w:lang w:val="vi-VN" w:eastAsia="vi-VN"/>
        </w:rPr>
        <w:t>i các trường hợp cán bộ có tố cáo, dư luận phản ánh về không trung thực trong kê khai tài sản, thu nhập</w:t>
      </w:r>
      <w:r w:rsidRPr="0059286F">
        <w:rPr>
          <w:rFonts w:ascii="Times New Roman" w:eastAsia="Times New Roman" w:hAnsi="Times New Roman" w:cs="Times New Roman"/>
          <w:color w:val="000000"/>
          <w:sz w:val="28"/>
          <w:szCs w:val="28"/>
          <w:lang w:val="da-DK" w:eastAsia="vi-VN"/>
        </w:rPr>
        <w:t xml:space="preserve">; </w:t>
      </w:r>
      <w:r w:rsidRPr="0059286F">
        <w:rPr>
          <w:rFonts w:ascii="Times New Roman" w:eastAsia="Times New Roman" w:hAnsi="Times New Roman" w:cs="Times New Roman"/>
          <w:sz w:val="28"/>
          <w:szCs w:val="28"/>
          <w:lang w:val="da-DK"/>
        </w:rPr>
        <w:t>Kiểm tra trách nhiệm của Thủ trưởng đơn vị trong việc tổ chức thực hiện các quy định của pháp luật, quy chế, quy định của Tập đoàn về công tác kiểm</w:t>
      </w:r>
      <w:r w:rsidRPr="0059286F">
        <w:rPr>
          <w:rFonts w:ascii="Times New Roman" w:eastAsia="Times New Roman" w:hAnsi="Times New Roman" w:cs="Times New Roman"/>
          <w:sz w:val="28"/>
          <w:szCs w:val="28"/>
          <w:lang w:val="vi-VN"/>
        </w:rPr>
        <w:t xml:space="preserve"> tra</w:t>
      </w:r>
      <w:r w:rsidRPr="0059286F">
        <w:rPr>
          <w:rFonts w:ascii="Times New Roman" w:eastAsia="Times New Roman" w:hAnsi="Times New Roman" w:cs="Times New Roman"/>
          <w:sz w:val="28"/>
          <w:szCs w:val="28"/>
          <w:lang w:val="da-DK"/>
        </w:rPr>
        <w:t>, thanh tra và xử lý, giải quyết khiếu nại, tố cáo.</w:t>
      </w:r>
    </w:p>
    <w:p w14:paraId="38CAF41C" w14:textId="3F48B354" w:rsidR="00540757" w:rsidRPr="0059286F" w:rsidRDefault="006F1D4C" w:rsidP="0059286F">
      <w:pPr>
        <w:spacing w:before="120" w:after="0" w:line="252" w:lineRule="auto"/>
        <w:ind w:firstLine="720"/>
        <w:jc w:val="both"/>
        <w:rPr>
          <w:rFonts w:ascii="Times New Roman" w:eastAsia="Times New Roman" w:hAnsi="Times New Roman" w:cs="Times New Roman"/>
          <w:bCs/>
          <w:iCs/>
          <w:sz w:val="28"/>
          <w:szCs w:val="28"/>
          <w:lang w:val="da-DK"/>
        </w:rPr>
      </w:pPr>
      <w:r w:rsidRPr="0059286F">
        <w:rPr>
          <w:rFonts w:ascii="Times New Roman" w:eastAsia="Times New Roman" w:hAnsi="Times New Roman" w:cs="Times New Roman"/>
          <w:bCs/>
          <w:iCs/>
          <w:sz w:val="28"/>
          <w:szCs w:val="28"/>
          <w:lang w:val="da-DK"/>
        </w:rPr>
        <w:t>- Thực hiện nghiêm chế độ trách nhiệm của người đứng đầu cấp ủy, đơn vị khi để xảy ra tham nhũng theo quy định của Đảng, của Luật PCTN và Nghị định số 59/2019/NĐ-CP. Định kỳ các đơn vị có trách nhiệm kiểm điểm, đánh giá, báo cáo Tập đoàn kết quả thực hiện trách nhiệm của người đứng đầu trong việc phòng ngừa, phát hiện hành vi tham nhũng, xử lý người có hành vi tham nhũng, tiêu cực.</w:t>
      </w:r>
    </w:p>
    <w:p w14:paraId="142EDD46" w14:textId="349086D3" w:rsidR="005B1ED5" w:rsidRPr="0059286F" w:rsidRDefault="005B1ED5" w:rsidP="0059286F">
      <w:pPr>
        <w:widowControl w:val="0"/>
        <w:spacing w:before="120" w:after="0" w:line="252" w:lineRule="auto"/>
        <w:ind w:firstLine="720"/>
        <w:jc w:val="both"/>
        <w:rPr>
          <w:rFonts w:ascii="Times New Roman" w:eastAsia="Times New Roman" w:hAnsi="Times New Roman" w:cs="Times New Roman"/>
          <w:b/>
          <w:iCs/>
          <w:sz w:val="28"/>
          <w:szCs w:val="28"/>
          <w:lang w:val="vi-VN"/>
        </w:rPr>
      </w:pPr>
      <w:r w:rsidRPr="0059286F">
        <w:rPr>
          <w:rFonts w:ascii="Times New Roman" w:eastAsia="Times New Roman" w:hAnsi="Times New Roman" w:cs="Times New Roman"/>
          <w:b/>
          <w:iCs/>
          <w:sz w:val="28"/>
          <w:szCs w:val="28"/>
          <w:lang w:val="vi-VN"/>
        </w:rPr>
        <w:t xml:space="preserve">III. </w:t>
      </w:r>
      <w:r w:rsidR="00236378" w:rsidRPr="0059286F">
        <w:rPr>
          <w:rFonts w:ascii="Times New Roman" w:eastAsia="Times New Roman" w:hAnsi="Times New Roman" w:cs="Times New Roman"/>
          <w:b/>
          <w:iCs/>
          <w:sz w:val="28"/>
          <w:szCs w:val="28"/>
          <w:lang w:val="da-DK"/>
        </w:rPr>
        <w:t>Q</w:t>
      </w:r>
      <w:r w:rsidR="00540757" w:rsidRPr="0059286F">
        <w:rPr>
          <w:rFonts w:ascii="Times New Roman" w:eastAsia="Times New Roman" w:hAnsi="Times New Roman" w:cs="Times New Roman"/>
          <w:b/>
          <w:iCs/>
          <w:sz w:val="28"/>
          <w:szCs w:val="28"/>
          <w:lang w:val="da-DK"/>
        </w:rPr>
        <w:t>UAN ĐIỂM CHỈ ĐẠO VÀ MỤC TIÊU TRỌNG TÂM TRONG CÔNG TÁC PCTN, L</w:t>
      </w:r>
      <w:r w:rsidR="007356F7" w:rsidRPr="0059286F">
        <w:rPr>
          <w:rFonts w:ascii="Times New Roman" w:eastAsia="Times New Roman" w:hAnsi="Times New Roman" w:cs="Times New Roman"/>
          <w:b/>
          <w:iCs/>
          <w:sz w:val="28"/>
          <w:szCs w:val="28"/>
          <w:lang w:val="da-DK"/>
        </w:rPr>
        <w:t>P</w:t>
      </w:r>
      <w:r w:rsidR="00540757" w:rsidRPr="0059286F">
        <w:rPr>
          <w:rFonts w:ascii="Times New Roman" w:eastAsia="Times New Roman" w:hAnsi="Times New Roman" w:cs="Times New Roman"/>
          <w:b/>
          <w:iCs/>
          <w:sz w:val="28"/>
          <w:szCs w:val="28"/>
          <w:lang w:val="da-DK"/>
        </w:rPr>
        <w:t>, T</w:t>
      </w:r>
      <w:r w:rsidR="007356F7" w:rsidRPr="0059286F">
        <w:rPr>
          <w:rFonts w:ascii="Times New Roman" w:eastAsia="Times New Roman" w:hAnsi="Times New Roman" w:cs="Times New Roman"/>
          <w:b/>
          <w:iCs/>
          <w:sz w:val="28"/>
          <w:szCs w:val="28"/>
          <w:lang w:val="da-DK"/>
        </w:rPr>
        <w:t>C</w:t>
      </w:r>
    </w:p>
    <w:p w14:paraId="5FE1D5D5" w14:textId="0FCEA97E" w:rsidR="00236378" w:rsidRPr="0059286F" w:rsidRDefault="00236378" w:rsidP="0059286F">
      <w:pPr>
        <w:widowControl w:val="0"/>
        <w:spacing w:before="120" w:after="0" w:line="252" w:lineRule="auto"/>
        <w:ind w:firstLine="720"/>
        <w:jc w:val="both"/>
        <w:rPr>
          <w:rFonts w:ascii="Times New Roman" w:eastAsia="Times New Roman" w:hAnsi="Times New Roman" w:cs="Times New Roman"/>
          <w:bCs/>
          <w:iCs/>
          <w:sz w:val="28"/>
          <w:szCs w:val="28"/>
          <w:lang w:val="vi-VN"/>
        </w:rPr>
      </w:pPr>
      <w:r w:rsidRPr="0059286F">
        <w:rPr>
          <w:rFonts w:ascii="Times New Roman" w:eastAsia="Times New Roman" w:hAnsi="Times New Roman" w:cs="Times New Roman"/>
          <w:bCs/>
          <w:iCs/>
          <w:sz w:val="28"/>
          <w:szCs w:val="28"/>
          <w:lang w:val="vi-VN"/>
        </w:rPr>
        <w:t>Trên cơ sở đánh giá tình hình, kết quả thực hiện công tác phòng, chống tham nhũng, lãng phí, tiêu cực trong thời gian qua; quán triệt các chủ trương, quan điểm chỉ đạo của Đảng, chính sách, pháp luật của Nhà nước và yêu cầu nhiệm vụ quản lý, điều hành của Tập đoàn trong giai đoạn tới, Đảng ủy EVN xác định các quan điểm, mục tiêu trọng tâm cần tập trung thực hiện như sau:</w:t>
      </w:r>
    </w:p>
    <w:p w14:paraId="570E70E1" w14:textId="7B1D73FD" w:rsidR="005B1ED5" w:rsidRPr="0059286F" w:rsidRDefault="005B1ED5" w:rsidP="0059286F">
      <w:pPr>
        <w:widowControl w:val="0"/>
        <w:spacing w:before="120" w:after="0" w:line="252" w:lineRule="auto"/>
        <w:ind w:firstLine="720"/>
        <w:jc w:val="both"/>
        <w:rPr>
          <w:rFonts w:ascii="Times New Roman" w:eastAsia="Times New Roman" w:hAnsi="Times New Roman" w:cs="Times New Roman"/>
          <w:bCs/>
          <w:iCs/>
          <w:sz w:val="28"/>
          <w:szCs w:val="28"/>
          <w:lang w:val="vi-VN"/>
        </w:rPr>
      </w:pPr>
      <w:r w:rsidRPr="0059286F">
        <w:rPr>
          <w:rFonts w:ascii="Times New Roman" w:eastAsia="Times New Roman" w:hAnsi="Times New Roman" w:cs="Times New Roman"/>
          <w:bCs/>
          <w:iCs/>
          <w:sz w:val="28"/>
          <w:szCs w:val="28"/>
          <w:lang w:val="vi-VN"/>
        </w:rPr>
        <w:t>1. Công tác PCTN, LP, TC là nhiệm vụ trọng tâm, thường xuyên, lâu dài, được Đảng ủy và H</w:t>
      </w:r>
      <w:r w:rsidR="007356F7" w:rsidRPr="0059286F">
        <w:rPr>
          <w:rFonts w:ascii="Times New Roman" w:eastAsia="Times New Roman" w:hAnsi="Times New Roman" w:cs="Times New Roman"/>
          <w:bCs/>
          <w:iCs/>
          <w:sz w:val="28"/>
          <w:szCs w:val="28"/>
          <w:lang w:val="vi-VN"/>
        </w:rPr>
        <w:t>ĐTV</w:t>
      </w:r>
      <w:r w:rsidRPr="0059286F">
        <w:rPr>
          <w:rFonts w:ascii="Times New Roman" w:eastAsia="Times New Roman" w:hAnsi="Times New Roman" w:cs="Times New Roman"/>
          <w:bCs/>
          <w:iCs/>
          <w:sz w:val="28"/>
          <w:szCs w:val="28"/>
          <w:lang w:val="vi-VN"/>
        </w:rPr>
        <w:t xml:space="preserve"> EVN trực tiếp lãnh đạo, chỉ đạo, gắn chặt với nhiệm vụ quản lý, điều hành và phát triển bền vững Tập đoàn.</w:t>
      </w:r>
    </w:p>
    <w:p w14:paraId="600D3E34" w14:textId="2CCB72FB" w:rsidR="005B1ED5" w:rsidRPr="0059286F" w:rsidRDefault="005B1ED5" w:rsidP="0059286F">
      <w:pPr>
        <w:widowControl w:val="0"/>
        <w:spacing w:before="120" w:after="0" w:line="252" w:lineRule="auto"/>
        <w:ind w:firstLine="720"/>
        <w:jc w:val="both"/>
        <w:rPr>
          <w:rFonts w:ascii="Times New Roman" w:eastAsia="Times New Roman" w:hAnsi="Times New Roman" w:cs="Times New Roman"/>
          <w:bCs/>
          <w:iCs/>
          <w:sz w:val="28"/>
          <w:szCs w:val="28"/>
          <w:lang w:val="vi-VN"/>
        </w:rPr>
      </w:pPr>
      <w:r w:rsidRPr="0059286F">
        <w:rPr>
          <w:rFonts w:ascii="Times New Roman" w:eastAsia="Times New Roman" w:hAnsi="Times New Roman" w:cs="Times New Roman"/>
          <w:bCs/>
          <w:iCs/>
          <w:sz w:val="28"/>
          <w:szCs w:val="28"/>
          <w:lang w:val="vi-VN"/>
        </w:rPr>
        <w:t>2. Phòng ngừa là chính, phát hiện sớm, xử lý nghiêm, trong đó chuyển mạnh trọng tâm từ kiểm tra, thanh tra để xử lý sang giám sát thường xuyên nhằm phòng ngừa từ sớm, từ xa, từ cơ sở, hạn chế phát sinh tham nhũng, lãng phí, tiêu cực.</w:t>
      </w:r>
    </w:p>
    <w:p w14:paraId="77184241" w14:textId="224D0422" w:rsidR="005B1ED5" w:rsidRPr="0059286F" w:rsidRDefault="005B1ED5" w:rsidP="0059286F">
      <w:pPr>
        <w:widowControl w:val="0"/>
        <w:spacing w:before="120" w:after="0" w:line="252" w:lineRule="auto"/>
        <w:ind w:firstLine="720"/>
        <w:jc w:val="both"/>
        <w:rPr>
          <w:rFonts w:ascii="Times New Roman" w:eastAsia="Times New Roman" w:hAnsi="Times New Roman" w:cs="Times New Roman"/>
          <w:bCs/>
          <w:iCs/>
          <w:sz w:val="28"/>
          <w:szCs w:val="28"/>
          <w:lang w:val="vi-VN"/>
        </w:rPr>
      </w:pPr>
      <w:r w:rsidRPr="0059286F">
        <w:rPr>
          <w:rFonts w:ascii="Times New Roman" w:eastAsia="Times New Roman" w:hAnsi="Times New Roman" w:cs="Times New Roman"/>
          <w:bCs/>
          <w:iCs/>
          <w:sz w:val="28"/>
          <w:szCs w:val="28"/>
          <w:lang w:val="vi-VN"/>
        </w:rPr>
        <w:lastRenderedPageBreak/>
        <w:t>3. Kiểm soát quyền lực gắn với trách nhiệm người đứng đầu là giải pháp then chốt; mọi hoạt động lãnh đạo, quản lý phải được đặt trong khuôn khổ thể chế, quy chế rõ ràng, minh bạch, có phân công, phân cấp, phân quyền đi đôi với kiểm tra, giám sát.</w:t>
      </w:r>
    </w:p>
    <w:p w14:paraId="78B2B0FE" w14:textId="5FEEEC03" w:rsidR="005B1ED5" w:rsidRPr="0059286F" w:rsidRDefault="005B1ED5" w:rsidP="0059286F">
      <w:pPr>
        <w:widowControl w:val="0"/>
        <w:spacing w:before="120" w:after="0" w:line="252" w:lineRule="auto"/>
        <w:ind w:firstLine="720"/>
        <w:jc w:val="both"/>
        <w:rPr>
          <w:rFonts w:ascii="Times New Roman" w:eastAsia="Times New Roman" w:hAnsi="Times New Roman" w:cs="Times New Roman"/>
          <w:bCs/>
          <w:iCs/>
          <w:sz w:val="28"/>
          <w:szCs w:val="28"/>
          <w:lang w:val="vi-VN"/>
        </w:rPr>
      </w:pPr>
      <w:r w:rsidRPr="0059286F">
        <w:rPr>
          <w:rFonts w:ascii="Times New Roman" w:eastAsia="Times New Roman" w:hAnsi="Times New Roman" w:cs="Times New Roman"/>
          <w:bCs/>
          <w:iCs/>
          <w:sz w:val="28"/>
          <w:szCs w:val="28"/>
          <w:lang w:val="vi-VN"/>
        </w:rPr>
        <w:t>4. Hoàn thiện thể chế, quy chế nội bộ và cải cách hành chính là nền tảng quan trọng để nâng cao hiệu lực, hiệu quả quản trị, khắc phục sơ hở trong cơ chế quản lý, phòng ngừa thất thoát, lãng phí, tiêu cực.</w:t>
      </w:r>
    </w:p>
    <w:p w14:paraId="7A3D0A5D" w14:textId="56D20BB8" w:rsidR="005B1ED5" w:rsidRPr="0059286F" w:rsidRDefault="005B1ED5" w:rsidP="0059286F">
      <w:pPr>
        <w:widowControl w:val="0"/>
        <w:spacing w:before="120" w:after="0" w:line="252" w:lineRule="auto"/>
        <w:ind w:firstLine="720"/>
        <w:jc w:val="both"/>
        <w:rPr>
          <w:rFonts w:ascii="Times New Roman" w:eastAsia="Times New Roman" w:hAnsi="Times New Roman" w:cs="Times New Roman"/>
          <w:bCs/>
          <w:iCs/>
          <w:sz w:val="28"/>
          <w:szCs w:val="28"/>
          <w:lang w:val="vi-VN"/>
        </w:rPr>
      </w:pPr>
      <w:r w:rsidRPr="0059286F">
        <w:rPr>
          <w:rFonts w:ascii="Times New Roman" w:eastAsia="Times New Roman" w:hAnsi="Times New Roman" w:cs="Times New Roman"/>
          <w:bCs/>
          <w:iCs/>
          <w:sz w:val="28"/>
          <w:szCs w:val="28"/>
          <w:lang w:val="vi-VN"/>
        </w:rPr>
        <w:t>5. Tăng cường kiểm tra, giám sát, thanh tra có trọng tâm, trọng điểm, tập trung vào các lĩnh vực nhạy cảm, rủi ro cao như đầu tư xây dựng, đấu thầu, tài chính, mua sắm, công tác cán bộ và quản lý tài sản công.</w:t>
      </w:r>
    </w:p>
    <w:p w14:paraId="12C38900" w14:textId="71ABF23C" w:rsidR="005B1ED5" w:rsidRPr="0059286F" w:rsidRDefault="005B1ED5" w:rsidP="0059286F">
      <w:pPr>
        <w:widowControl w:val="0"/>
        <w:spacing w:before="120" w:after="0" w:line="252" w:lineRule="auto"/>
        <w:ind w:firstLine="720"/>
        <w:jc w:val="both"/>
        <w:rPr>
          <w:rFonts w:ascii="Times New Roman" w:eastAsia="Times New Roman" w:hAnsi="Times New Roman" w:cs="Times New Roman"/>
          <w:bCs/>
          <w:iCs/>
          <w:sz w:val="28"/>
          <w:szCs w:val="28"/>
          <w:lang w:val="vi-VN"/>
        </w:rPr>
      </w:pPr>
      <w:r w:rsidRPr="0059286F">
        <w:rPr>
          <w:rFonts w:ascii="Times New Roman" w:eastAsia="Times New Roman" w:hAnsi="Times New Roman" w:cs="Times New Roman"/>
          <w:bCs/>
          <w:iCs/>
          <w:sz w:val="28"/>
          <w:szCs w:val="28"/>
          <w:lang w:val="vi-VN"/>
        </w:rPr>
        <w:t>6. Đẩy mạnh công khai, minh bạch, thực hành tiết kiệm, chống lãng phí trong toàn bộ hoạt động sản xuất kinh doanh; coi tiết kiệm là yêu cầu bắt buộc gắn với hiệu quả và trách nhiệm quản lý.</w:t>
      </w:r>
    </w:p>
    <w:p w14:paraId="726B782C" w14:textId="529A0967" w:rsidR="005B1ED5" w:rsidRPr="0059286F" w:rsidRDefault="005B1ED5" w:rsidP="0059286F">
      <w:pPr>
        <w:widowControl w:val="0"/>
        <w:spacing w:before="120" w:after="0" w:line="252" w:lineRule="auto"/>
        <w:ind w:firstLine="720"/>
        <w:jc w:val="both"/>
        <w:rPr>
          <w:rFonts w:ascii="Times New Roman" w:eastAsia="Times New Roman" w:hAnsi="Times New Roman" w:cs="Times New Roman"/>
          <w:bCs/>
          <w:iCs/>
          <w:sz w:val="28"/>
          <w:szCs w:val="28"/>
          <w:lang w:val="vi-VN"/>
        </w:rPr>
      </w:pPr>
      <w:r w:rsidRPr="0059286F">
        <w:rPr>
          <w:rFonts w:ascii="Times New Roman" w:eastAsia="Times New Roman" w:hAnsi="Times New Roman" w:cs="Times New Roman"/>
          <w:bCs/>
          <w:iCs/>
          <w:sz w:val="28"/>
          <w:szCs w:val="28"/>
          <w:lang w:val="vi-VN"/>
        </w:rPr>
        <w:t>7. Tuyên truyền, giáo dục liêm chính phải được thực hiện thường xuyên, sâu rộng, gắn với học tập và làm theo tư tưởng, đạo đức, phong cách Hồ Chí Minh; xây dựng văn hóa liêm chính, nêu gương trong toàn EVN.</w:t>
      </w:r>
    </w:p>
    <w:p w14:paraId="1FEE3283" w14:textId="41F676EC" w:rsidR="005B1ED5" w:rsidRPr="0059286F" w:rsidRDefault="005B1ED5" w:rsidP="0059286F">
      <w:pPr>
        <w:widowControl w:val="0"/>
        <w:spacing w:before="120" w:after="0" w:line="252" w:lineRule="auto"/>
        <w:ind w:firstLine="720"/>
        <w:jc w:val="both"/>
        <w:rPr>
          <w:rFonts w:ascii="Times New Roman" w:eastAsia="Times New Roman" w:hAnsi="Times New Roman" w:cs="Times New Roman"/>
          <w:bCs/>
          <w:iCs/>
          <w:sz w:val="28"/>
          <w:szCs w:val="28"/>
          <w:lang w:val="vi-VN"/>
        </w:rPr>
      </w:pPr>
      <w:r w:rsidRPr="0059286F">
        <w:rPr>
          <w:rFonts w:ascii="Times New Roman" w:eastAsia="Times New Roman" w:hAnsi="Times New Roman" w:cs="Times New Roman"/>
          <w:bCs/>
          <w:iCs/>
          <w:sz w:val="28"/>
          <w:szCs w:val="28"/>
          <w:lang w:val="vi-VN"/>
        </w:rPr>
        <w:t>8. Ứng dụng công nghệ thông tin, chuyển đổi số là giải pháp quan trọng để tăng minh bạch, giảm sự can thiệp chủ quan của con người, nâng cao hiệu quả giám sát và quản trị.</w:t>
      </w:r>
    </w:p>
    <w:p w14:paraId="10148F41" w14:textId="100452B5" w:rsidR="005B1ED5" w:rsidRPr="0059286F" w:rsidRDefault="005B1ED5" w:rsidP="0059286F">
      <w:pPr>
        <w:widowControl w:val="0"/>
        <w:spacing w:before="120" w:after="0" w:line="252" w:lineRule="auto"/>
        <w:ind w:firstLine="720"/>
        <w:jc w:val="both"/>
        <w:rPr>
          <w:rFonts w:ascii="Times New Roman" w:eastAsia="Times New Roman" w:hAnsi="Times New Roman" w:cs="Times New Roman"/>
          <w:bCs/>
          <w:iCs/>
          <w:sz w:val="28"/>
          <w:szCs w:val="28"/>
          <w:lang w:val="vi-VN"/>
        </w:rPr>
      </w:pPr>
      <w:r w:rsidRPr="0059286F">
        <w:rPr>
          <w:rFonts w:ascii="Times New Roman" w:eastAsia="Times New Roman" w:hAnsi="Times New Roman" w:cs="Times New Roman"/>
          <w:bCs/>
          <w:iCs/>
          <w:sz w:val="28"/>
          <w:szCs w:val="28"/>
          <w:lang w:val="vi-VN"/>
        </w:rPr>
        <w:t>9. Xử lý nghiêm, kịp thời các vi phạm và trách nhiệm của tổ chức, cá nhân, không có vùng cấm, không có ngoại lệ; đồng thời coi trọng công tác tiếp công dân, giải quyết khiếu nại, tố cáo, phát huy dân chủ và giám sát của người lao động.</w:t>
      </w:r>
    </w:p>
    <w:p w14:paraId="7FC864E9" w14:textId="069B6442" w:rsidR="005B1ED5" w:rsidRPr="0059286F" w:rsidRDefault="005B1ED5" w:rsidP="0059286F">
      <w:pPr>
        <w:widowControl w:val="0"/>
        <w:spacing w:before="120" w:after="0" w:line="252" w:lineRule="auto"/>
        <w:ind w:firstLine="720"/>
        <w:jc w:val="both"/>
        <w:rPr>
          <w:rFonts w:ascii="Times New Roman" w:eastAsia="Times New Roman" w:hAnsi="Times New Roman" w:cs="Times New Roman"/>
          <w:bCs/>
          <w:iCs/>
          <w:sz w:val="28"/>
          <w:szCs w:val="28"/>
          <w:lang w:val="vi-VN"/>
        </w:rPr>
      </w:pPr>
      <w:r w:rsidRPr="0059286F">
        <w:rPr>
          <w:rFonts w:ascii="Times New Roman" w:eastAsia="Times New Roman" w:hAnsi="Times New Roman" w:cs="Times New Roman"/>
          <w:bCs/>
          <w:iCs/>
          <w:sz w:val="28"/>
          <w:szCs w:val="28"/>
          <w:lang w:val="vi-VN"/>
        </w:rPr>
        <w:t>10. Phát huy sức mạnh tổng hợp của cả hệ thống chính trị trong EVN, trong đó vai trò của các tổ chức đảng, đoàn thể, cán bộ, đảng viên và người lao động là yếu tố quyết định hiệu quả công tác PCTN, LP, TC.</w:t>
      </w:r>
    </w:p>
    <w:p w14:paraId="4EF96B0B" w14:textId="18BEDC85" w:rsidR="00683EAC" w:rsidRPr="0059286F" w:rsidRDefault="00683EAC" w:rsidP="0059286F">
      <w:pPr>
        <w:widowControl w:val="0"/>
        <w:spacing w:before="120" w:after="0" w:line="252" w:lineRule="auto"/>
        <w:rPr>
          <w:rFonts w:ascii="Times New Roman" w:hAnsi="Times New Roman" w:cs="Times New Roman"/>
          <w:sz w:val="28"/>
          <w:szCs w:val="28"/>
          <w:lang w:val="vi-VN"/>
        </w:rPr>
      </w:pPr>
    </w:p>
    <w:p w14:paraId="3E5762F1" w14:textId="76BB404B" w:rsidR="00683EAC" w:rsidRPr="0059286F" w:rsidRDefault="008413C1" w:rsidP="0059286F">
      <w:pPr>
        <w:widowControl w:val="0"/>
        <w:spacing w:before="120" w:after="0" w:line="252" w:lineRule="auto"/>
        <w:jc w:val="center"/>
        <w:rPr>
          <w:rFonts w:ascii="Times New Roman" w:hAnsi="Times New Roman" w:cs="Times New Roman"/>
          <w:b/>
          <w:bCs/>
          <w:sz w:val="28"/>
          <w:szCs w:val="28"/>
          <w:lang w:val="vi-VN"/>
        </w:rPr>
      </w:pPr>
      <w:r w:rsidRPr="0059286F">
        <w:rPr>
          <w:rFonts w:ascii="Times New Roman" w:hAnsi="Times New Roman" w:cs="Times New Roman"/>
          <w:b/>
          <w:bCs/>
          <w:sz w:val="28"/>
          <w:szCs w:val="28"/>
          <w:lang w:val="vi-VN"/>
        </w:rPr>
        <w:t>BAN CHẤP HÀNH ĐẢNG BỘ TẬP ĐOÀN ĐIỆN LỰC VIỆT NAM</w:t>
      </w:r>
    </w:p>
    <w:sectPr w:rsidR="00683EAC" w:rsidRPr="0059286F" w:rsidSect="008413C1">
      <w:headerReference w:type="default" r:id="rId8"/>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284B8" w14:textId="77777777" w:rsidR="00772AAC" w:rsidRDefault="00772AAC" w:rsidP="00093359">
      <w:pPr>
        <w:spacing w:after="0" w:line="240" w:lineRule="auto"/>
      </w:pPr>
      <w:r>
        <w:separator/>
      </w:r>
    </w:p>
  </w:endnote>
  <w:endnote w:type="continuationSeparator" w:id="0">
    <w:p w14:paraId="087E84A7" w14:textId="77777777" w:rsidR="00772AAC" w:rsidRDefault="00772AAC" w:rsidP="00093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nTimeH">
    <w:panose1 w:val="020B7200000000000000"/>
    <w:charset w:val="00"/>
    <w:family w:val="swiss"/>
    <w:pitch w:val="variable"/>
    <w:sig w:usb0="00000007" w:usb1="00000000" w:usb2="00000000" w:usb3="00000000" w:csb0="00000013"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67362" w14:textId="77777777" w:rsidR="00772AAC" w:rsidRDefault="00772AAC" w:rsidP="00093359">
      <w:pPr>
        <w:spacing w:after="0" w:line="240" w:lineRule="auto"/>
      </w:pPr>
      <w:r>
        <w:separator/>
      </w:r>
    </w:p>
  </w:footnote>
  <w:footnote w:type="continuationSeparator" w:id="0">
    <w:p w14:paraId="67E11A3C" w14:textId="77777777" w:rsidR="00772AAC" w:rsidRDefault="00772AAC" w:rsidP="00093359">
      <w:pPr>
        <w:spacing w:after="0" w:line="240" w:lineRule="auto"/>
      </w:pPr>
      <w:r>
        <w:continuationSeparator/>
      </w:r>
    </w:p>
  </w:footnote>
  <w:footnote w:id="1">
    <w:p w14:paraId="5E3A330B" w14:textId="77777777" w:rsidR="006F1D4C" w:rsidRPr="00755B00" w:rsidRDefault="006F1D4C" w:rsidP="006F1D4C">
      <w:pPr>
        <w:pStyle w:val="FootnoteText"/>
        <w:rPr>
          <w:rFonts w:ascii="Times New Roman" w:hAnsi="Times New Roman" w:cs="Times New Roman"/>
        </w:rPr>
      </w:pPr>
      <w:r w:rsidRPr="00755B00">
        <w:rPr>
          <w:rStyle w:val="FootnoteReference"/>
          <w:rFonts w:ascii="Times New Roman" w:hAnsi="Times New Roman" w:cs="Times New Roman"/>
        </w:rPr>
        <w:footnoteRef/>
      </w:r>
      <w:r w:rsidRPr="00755B00">
        <w:rPr>
          <w:rFonts w:ascii="Times New Roman" w:hAnsi="Times New Roman" w:cs="Times New Roman"/>
        </w:rPr>
        <w:t xml:space="preserve"> Chương trình số 38-CTr/ĐU ngày 31/12/2024; Chương trình số 497-CTr/KTĐU, ngày 08/01/2025.</w:t>
      </w:r>
    </w:p>
  </w:footnote>
  <w:footnote w:id="2">
    <w:p w14:paraId="79C50D6D" w14:textId="77777777" w:rsidR="006F1D4C" w:rsidRPr="00755B00" w:rsidRDefault="006F1D4C" w:rsidP="006F1D4C">
      <w:pPr>
        <w:pStyle w:val="FootnoteText"/>
        <w:rPr>
          <w:rFonts w:ascii="Times New Roman" w:hAnsi="Times New Roman" w:cs="Times New Roman"/>
        </w:rPr>
      </w:pPr>
      <w:r w:rsidRPr="00755B00">
        <w:rPr>
          <w:rStyle w:val="FootnoteReference"/>
          <w:rFonts w:ascii="Times New Roman" w:hAnsi="Times New Roman" w:cs="Times New Roman"/>
        </w:rPr>
        <w:footnoteRef/>
      </w:r>
      <w:r w:rsidRPr="00755B00">
        <w:rPr>
          <w:rFonts w:ascii="Times New Roman" w:hAnsi="Times New Roman" w:cs="Times New Roman"/>
        </w:rPr>
        <w:t xml:space="preserve"> Nghị quyết số 279-NQ/ĐU, ngày 28/02/2025; Nghị quyết số 300-NQ/ĐU, ngày 15/5/2025; Nghị quyết số 313-NQ/ĐU, ngày 11/7/2025.</w:t>
      </w:r>
    </w:p>
  </w:footnote>
  <w:footnote w:id="3">
    <w:p w14:paraId="17A10609" w14:textId="77777777" w:rsidR="006F1D4C" w:rsidRPr="00755B00" w:rsidRDefault="006F1D4C" w:rsidP="006F1D4C">
      <w:pPr>
        <w:pStyle w:val="FootnoteText"/>
        <w:rPr>
          <w:rFonts w:ascii="Times New Roman" w:hAnsi="Times New Roman" w:cs="Times New Roman"/>
        </w:rPr>
      </w:pPr>
      <w:r w:rsidRPr="00755B00">
        <w:rPr>
          <w:rStyle w:val="FootnoteReference"/>
          <w:rFonts w:ascii="Times New Roman" w:hAnsi="Times New Roman" w:cs="Times New Roman"/>
        </w:rPr>
        <w:footnoteRef/>
      </w:r>
      <w:r w:rsidRPr="00755B00">
        <w:rPr>
          <w:rFonts w:ascii="Times New Roman" w:hAnsi="Times New Roman" w:cs="Times New Roman"/>
        </w:rPr>
        <w:t xml:space="preserve"> Công văn 2549-CV/ĐU, ngày 18/7/2025.</w:t>
      </w:r>
    </w:p>
  </w:footnote>
  <w:footnote w:id="4">
    <w:p w14:paraId="17714F6E" w14:textId="77777777" w:rsidR="006F1D4C" w:rsidRPr="00755B00" w:rsidRDefault="006F1D4C" w:rsidP="006F1D4C">
      <w:pPr>
        <w:pStyle w:val="FootnoteText"/>
        <w:rPr>
          <w:rFonts w:ascii="Times New Roman" w:hAnsi="Times New Roman" w:cs="Times New Roman"/>
        </w:rPr>
      </w:pPr>
      <w:r w:rsidRPr="00755B00">
        <w:rPr>
          <w:rStyle w:val="FootnoteReference"/>
          <w:rFonts w:ascii="Times New Roman" w:hAnsi="Times New Roman" w:cs="Times New Roman"/>
        </w:rPr>
        <w:footnoteRef/>
      </w:r>
      <w:r w:rsidRPr="00755B00">
        <w:rPr>
          <w:rFonts w:ascii="Times New Roman" w:hAnsi="Times New Roman" w:cs="Times New Roman"/>
        </w:rPr>
        <w:t xml:space="preserve"> Kế hoạch số 78-KH/ĐU, ngày 25/7/2025.</w:t>
      </w:r>
    </w:p>
  </w:footnote>
  <w:footnote w:id="5">
    <w:p w14:paraId="7100DF5D" w14:textId="77777777" w:rsidR="006F1D4C" w:rsidRPr="00897094" w:rsidRDefault="006F1D4C" w:rsidP="008413C1">
      <w:pPr>
        <w:pStyle w:val="FootnoteText"/>
        <w:ind w:firstLine="284"/>
        <w:jc w:val="both"/>
        <w:rPr>
          <w:rFonts w:ascii="Times New Roman" w:hAnsi="Times New Roman" w:cs="Times New Roman"/>
        </w:rPr>
      </w:pPr>
      <w:r w:rsidRPr="00897094">
        <w:rPr>
          <w:rStyle w:val="FootnoteReference"/>
          <w:rFonts w:ascii="Times New Roman" w:hAnsi="Times New Roman" w:cs="Times New Roman"/>
        </w:rPr>
        <w:footnoteRef/>
      </w:r>
      <w:r w:rsidRPr="00897094">
        <w:rPr>
          <w:rFonts w:ascii="Times New Roman" w:hAnsi="Times New Roman" w:cs="Times New Roman"/>
        </w:rPr>
        <w:t xml:space="preserve"> Công văn 2485-CV/ĐU, ngày 13/6/2025; Công văn 2487-CV/ĐU, ngày 13/6/2025.</w:t>
      </w:r>
    </w:p>
  </w:footnote>
  <w:footnote w:id="6">
    <w:p w14:paraId="4985D9A9" w14:textId="77777777" w:rsidR="006F1D4C" w:rsidRPr="00897094" w:rsidRDefault="006F1D4C" w:rsidP="008413C1">
      <w:pPr>
        <w:pStyle w:val="FootnoteText"/>
        <w:ind w:firstLine="284"/>
        <w:jc w:val="both"/>
        <w:rPr>
          <w:rFonts w:ascii="Times New Roman" w:hAnsi="Times New Roman" w:cs="Times New Roman"/>
        </w:rPr>
      </w:pPr>
      <w:r w:rsidRPr="00897094">
        <w:rPr>
          <w:rStyle w:val="FootnoteReference"/>
          <w:rFonts w:ascii="Times New Roman" w:hAnsi="Times New Roman" w:cs="Times New Roman"/>
        </w:rPr>
        <w:footnoteRef/>
      </w:r>
      <w:r w:rsidRPr="00897094">
        <w:rPr>
          <w:rFonts w:ascii="Times New Roman" w:hAnsi="Times New Roman" w:cs="Times New Roman"/>
        </w:rPr>
        <w:t xml:space="preserve"> Tại EVNCPC và EVNGENCO1: kiểm tra về công tác kiểm tra, thanh tra và giải quyết khiếu nại, tố cáo; việc chấp hành các quy định của Luật Phòng, chống tham nhũng và việc thực hiện các Chương trình, Kế hoạch thực hành tiết kiệm, chống lãng phí của EVN và của cấp có thẩm quyền. </w:t>
      </w:r>
    </w:p>
  </w:footnote>
  <w:footnote w:id="7">
    <w:p w14:paraId="2EFC115F" w14:textId="77777777" w:rsidR="006F1D4C" w:rsidRPr="00897094" w:rsidRDefault="006F1D4C" w:rsidP="008413C1">
      <w:pPr>
        <w:pStyle w:val="FootnoteText"/>
        <w:ind w:firstLine="284"/>
        <w:jc w:val="both"/>
        <w:rPr>
          <w:rFonts w:ascii="Times New Roman" w:hAnsi="Times New Roman" w:cs="Times New Roman"/>
        </w:rPr>
      </w:pPr>
      <w:r w:rsidRPr="00897094">
        <w:rPr>
          <w:rStyle w:val="FootnoteReference"/>
          <w:rFonts w:ascii="Times New Roman" w:hAnsi="Times New Roman" w:cs="Times New Roman"/>
        </w:rPr>
        <w:footnoteRef/>
      </w:r>
      <w:r w:rsidRPr="00897094">
        <w:rPr>
          <w:rFonts w:ascii="Times New Roman" w:hAnsi="Times New Roman" w:cs="Times New Roman"/>
        </w:rPr>
        <w:t xml:space="preserve"> Tại EVNSPC: kiểm tra về công tác kiểm tra, thanh tra và giải quyết khiếu nại, tố cáo; và công tác quốc phòng, quân sự; công tác phòng, chống khủng bố.</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7228014"/>
      <w:docPartObj>
        <w:docPartGallery w:val="Page Numbers (Top of Page)"/>
        <w:docPartUnique/>
      </w:docPartObj>
    </w:sdtPr>
    <w:sdtEndPr>
      <w:rPr>
        <w:rFonts w:ascii="Times New Roman" w:hAnsi="Times New Roman" w:cs="Times New Roman"/>
        <w:noProof/>
        <w:sz w:val="26"/>
        <w:szCs w:val="26"/>
      </w:rPr>
    </w:sdtEndPr>
    <w:sdtContent>
      <w:p w14:paraId="05664D79" w14:textId="77777777" w:rsidR="00093359" w:rsidRPr="007F2F99" w:rsidRDefault="00093359">
        <w:pPr>
          <w:pStyle w:val="Header"/>
          <w:jc w:val="center"/>
          <w:rPr>
            <w:rFonts w:ascii="Times New Roman" w:hAnsi="Times New Roman" w:cs="Times New Roman"/>
            <w:sz w:val="26"/>
            <w:szCs w:val="26"/>
          </w:rPr>
        </w:pPr>
        <w:r w:rsidRPr="008C6792">
          <w:rPr>
            <w:rFonts w:ascii="Times New Roman" w:hAnsi="Times New Roman" w:cs="Times New Roman"/>
            <w:sz w:val="28"/>
            <w:szCs w:val="28"/>
          </w:rPr>
          <w:fldChar w:fldCharType="begin"/>
        </w:r>
        <w:r w:rsidRPr="008C6792">
          <w:rPr>
            <w:rFonts w:ascii="Times New Roman" w:hAnsi="Times New Roman" w:cs="Times New Roman"/>
            <w:sz w:val="28"/>
            <w:szCs w:val="28"/>
          </w:rPr>
          <w:instrText xml:space="preserve"> PAGE   \* MERGEFORMAT </w:instrText>
        </w:r>
        <w:r w:rsidRPr="008C6792">
          <w:rPr>
            <w:rFonts w:ascii="Times New Roman" w:hAnsi="Times New Roman" w:cs="Times New Roman"/>
            <w:sz w:val="28"/>
            <w:szCs w:val="28"/>
          </w:rPr>
          <w:fldChar w:fldCharType="separate"/>
        </w:r>
        <w:r w:rsidR="00F8005B" w:rsidRPr="008C6792">
          <w:rPr>
            <w:rFonts w:ascii="Times New Roman" w:hAnsi="Times New Roman" w:cs="Times New Roman"/>
            <w:noProof/>
            <w:sz w:val="28"/>
            <w:szCs w:val="28"/>
          </w:rPr>
          <w:t>2</w:t>
        </w:r>
        <w:r w:rsidRPr="008C6792">
          <w:rPr>
            <w:rFonts w:ascii="Times New Roman" w:hAnsi="Times New Roman" w:cs="Times New Roman"/>
            <w:noProof/>
            <w:sz w:val="28"/>
            <w:szCs w:val="28"/>
          </w:rPr>
          <w:fldChar w:fldCharType="end"/>
        </w:r>
      </w:p>
    </w:sdtContent>
  </w:sdt>
  <w:p w14:paraId="40B6D4E0" w14:textId="77777777" w:rsidR="00093359" w:rsidRDefault="000933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21304"/>
    <w:multiLevelType w:val="hybridMultilevel"/>
    <w:tmpl w:val="DEDC40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5E412F3"/>
    <w:multiLevelType w:val="hybridMultilevel"/>
    <w:tmpl w:val="9320AE06"/>
    <w:lvl w:ilvl="0" w:tplc="CECE6FE4">
      <w:start w:val="1"/>
      <w:numFmt w:val="decimal"/>
      <w:lvlText w:val="%1."/>
      <w:lvlJc w:val="left"/>
      <w:pPr>
        <w:ind w:left="3763" w:hanging="360"/>
      </w:pPr>
      <w:rPr>
        <w:i w:val="0"/>
        <w:iCs w:val="0"/>
      </w:rPr>
    </w:lvl>
    <w:lvl w:ilvl="1" w:tplc="04090019">
      <w:start w:val="1"/>
      <w:numFmt w:val="lowerLetter"/>
      <w:lvlText w:val="%2."/>
      <w:lvlJc w:val="left"/>
      <w:pPr>
        <w:ind w:left="4483" w:hanging="360"/>
      </w:pPr>
    </w:lvl>
    <w:lvl w:ilvl="2" w:tplc="0409001B">
      <w:start w:val="1"/>
      <w:numFmt w:val="lowerRoman"/>
      <w:lvlText w:val="%3."/>
      <w:lvlJc w:val="right"/>
      <w:pPr>
        <w:ind w:left="5203" w:hanging="180"/>
      </w:pPr>
    </w:lvl>
    <w:lvl w:ilvl="3" w:tplc="0409000F">
      <w:start w:val="1"/>
      <w:numFmt w:val="decimal"/>
      <w:lvlText w:val="%4."/>
      <w:lvlJc w:val="left"/>
      <w:pPr>
        <w:ind w:left="5923" w:hanging="360"/>
      </w:pPr>
    </w:lvl>
    <w:lvl w:ilvl="4" w:tplc="04090019">
      <w:start w:val="1"/>
      <w:numFmt w:val="lowerLetter"/>
      <w:lvlText w:val="%5."/>
      <w:lvlJc w:val="left"/>
      <w:pPr>
        <w:ind w:left="6643" w:hanging="360"/>
      </w:pPr>
    </w:lvl>
    <w:lvl w:ilvl="5" w:tplc="0409001B">
      <w:start w:val="1"/>
      <w:numFmt w:val="lowerRoman"/>
      <w:lvlText w:val="%6."/>
      <w:lvlJc w:val="right"/>
      <w:pPr>
        <w:ind w:left="7363" w:hanging="180"/>
      </w:pPr>
    </w:lvl>
    <w:lvl w:ilvl="6" w:tplc="0409000F">
      <w:start w:val="1"/>
      <w:numFmt w:val="decimal"/>
      <w:lvlText w:val="%7."/>
      <w:lvlJc w:val="left"/>
      <w:pPr>
        <w:ind w:left="8083" w:hanging="360"/>
      </w:pPr>
    </w:lvl>
    <w:lvl w:ilvl="7" w:tplc="04090019">
      <w:start w:val="1"/>
      <w:numFmt w:val="lowerLetter"/>
      <w:lvlText w:val="%8."/>
      <w:lvlJc w:val="left"/>
      <w:pPr>
        <w:ind w:left="8803" w:hanging="360"/>
      </w:pPr>
    </w:lvl>
    <w:lvl w:ilvl="8" w:tplc="0409001B">
      <w:start w:val="1"/>
      <w:numFmt w:val="lowerRoman"/>
      <w:lvlText w:val="%9."/>
      <w:lvlJc w:val="right"/>
      <w:pPr>
        <w:ind w:left="9523" w:hanging="180"/>
      </w:pPr>
    </w:lvl>
  </w:abstractNum>
  <w:abstractNum w:abstractNumId="2" w15:restartNumberingAfterBreak="0">
    <w:nsid w:val="16E20841"/>
    <w:multiLevelType w:val="hybridMultilevel"/>
    <w:tmpl w:val="1A12AD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5379C6"/>
    <w:multiLevelType w:val="hybridMultilevel"/>
    <w:tmpl w:val="8AFEC9FE"/>
    <w:lvl w:ilvl="0" w:tplc="1BC0E91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192A14E6"/>
    <w:multiLevelType w:val="hybridMultilevel"/>
    <w:tmpl w:val="D41CE0F0"/>
    <w:lvl w:ilvl="0" w:tplc="842A9E3C">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53D4B08"/>
    <w:multiLevelType w:val="hybridMultilevel"/>
    <w:tmpl w:val="BFB064F4"/>
    <w:lvl w:ilvl="0" w:tplc="0248C1A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ABB0504"/>
    <w:multiLevelType w:val="hybridMultilevel"/>
    <w:tmpl w:val="46709698"/>
    <w:lvl w:ilvl="0" w:tplc="C0AC00A0">
      <w:start w:val="1"/>
      <w:numFmt w:val="bullet"/>
      <w:lvlText w:val="-"/>
      <w:lvlJc w:val="left"/>
      <w:pPr>
        <w:ind w:left="1080" w:hanging="360"/>
      </w:pPr>
      <w:rPr>
        <w:rFonts w:ascii="Calibri" w:eastAsia="Times New Roma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2BDD7A7D"/>
    <w:multiLevelType w:val="hybridMultilevel"/>
    <w:tmpl w:val="DC4855C4"/>
    <w:lvl w:ilvl="0" w:tplc="A3DE13BE">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32D268CE"/>
    <w:multiLevelType w:val="hybridMultilevel"/>
    <w:tmpl w:val="1ED8C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84430B"/>
    <w:multiLevelType w:val="hybridMultilevel"/>
    <w:tmpl w:val="99248510"/>
    <w:lvl w:ilvl="0" w:tplc="2340CD54">
      <w:start w:val="1"/>
      <w:numFmt w:val="lowerLetter"/>
      <w:lvlText w:val="%1)"/>
      <w:lvlJc w:val="left"/>
      <w:pPr>
        <w:ind w:left="927" w:hanging="360"/>
      </w:pPr>
      <w:rPr>
        <w:rFonts w:ascii="Times New Roman" w:eastAsiaTheme="minorHAnsi" w:hAnsi="Times New Roman" w:cs="Times New Roman"/>
        <w:i/>
        <w:i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490337B0"/>
    <w:multiLevelType w:val="multilevel"/>
    <w:tmpl w:val="2F2E6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29026B"/>
    <w:multiLevelType w:val="hybridMultilevel"/>
    <w:tmpl w:val="F25077D0"/>
    <w:lvl w:ilvl="0" w:tplc="0A6AC4A8">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83B1A71"/>
    <w:multiLevelType w:val="hybridMultilevel"/>
    <w:tmpl w:val="59F69CC2"/>
    <w:lvl w:ilvl="0" w:tplc="24D8E71E">
      <w:start w:val="1"/>
      <w:numFmt w:val="decimal"/>
      <w:lvlText w:val="%1."/>
      <w:lvlJc w:val="left"/>
      <w:pPr>
        <w:ind w:left="927" w:hanging="360"/>
      </w:pPr>
      <w:rPr>
        <w:rFonts w:hint="default"/>
        <w:b/>
        <w:bCs/>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13" w15:restartNumberingAfterBreak="0">
    <w:nsid w:val="5CA605CF"/>
    <w:multiLevelType w:val="hybridMultilevel"/>
    <w:tmpl w:val="537898D8"/>
    <w:lvl w:ilvl="0" w:tplc="0409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651118FD"/>
    <w:multiLevelType w:val="hybridMultilevel"/>
    <w:tmpl w:val="04C4112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72C370FF"/>
    <w:multiLevelType w:val="hybridMultilevel"/>
    <w:tmpl w:val="CFFCB398"/>
    <w:lvl w:ilvl="0" w:tplc="37D8EA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6102466"/>
    <w:multiLevelType w:val="multilevel"/>
    <w:tmpl w:val="1DDCD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0D619F"/>
    <w:multiLevelType w:val="hybridMultilevel"/>
    <w:tmpl w:val="86341702"/>
    <w:lvl w:ilvl="0" w:tplc="E4D69C9C">
      <w:start w:val="1"/>
      <w:numFmt w:val="decimal"/>
      <w:lvlText w:val="%1."/>
      <w:lvlJc w:val="left"/>
      <w:pPr>
        <w:ind w:left="927" w:hanging="360"/>
      </w:pPr>
      <w:rPr>
        <w:rFonts w:hint="default"/>
        <w:b/>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970431924">
    <w:abstractNumId w:val="14"/>
  </w:num>
  <w:num w:numId="2" w16cid:durableId="1492791987">
    <w:abstractNumId w:val="12"/>
  </w:num>
  <w:num w:numId="3" w16cid:durableId="12916669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0959798">
    <w:abstractNumId w:val="7"/>
  </w:num>
  <w:num w:numId="5" w16cid:durableId="726496489">
    <w:abstractNumId w:val="4"/>
  </w:num>
  <w:num w:numId="6" w16cid:durableId="7081476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19374583">
    <w:abstractNumId w:val="6"/>
  </w:num>
  <w:num w:numId="8" w16cid:durableId="1009680219">
    <w:abstractNumId w:val="9"/>
  </w:num>
  <w:num w:numId="9" w16cid:durableId="358510382">
    <w:abstractNumId w:val="8"/>
  </w:num>
  <w:num w:numId="10" w16cid:durableId="1379087567">
    <w:abstractNumId w:val="13"/>
  </w:num>
  <w:num w:numId="11" w16cid:durableId="1064067355">
    <w:abstractNumId w:val="2"/>
  </w:num>
  <w:num w:numId="12" w16cid:durableId="1060832990">
    <w:abstractNumId w:val="15"/>
  </w:num>
  <w:num w:numId="13" w16cid:durableId="427391352">
    <w:abstractNumId w:val="16"/>
  </w:num>
  <w:num w:numId="14" w16cid:durableId="365834359">
    <w:abstractNumId w:val="10"/>
  </w:num>
  <w:num w:numId="15" w16cid:durableId="1313481513">
    <w:abstractNumId w:val="3"/>
  </w:num>
  <w:num w:numId="16" w16cid:durableId="976643365">
    <w:abstractNumId w:val="11"/>
  </w:num>
  <w:num w:numId="17" w16cid:durableId="103500654">
    <w:abstractNumId w:val="5"/>
  </w:num>
  <w:num w:numId="18" w16cid:durableId="20603220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hideSpellingErrors/>
  <w:hideGrammatical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1C4"/>
    <w:rsid w:val="00004AC9"/>
    <w:rsid w:val="00012697"/>
    <w:rsid w:val="00013D2A"/>
    <w:rsid w:val="00015483"/>
    <w:rsid w:val="0001623B"/>
    <w:rsid w:val="000163A2"/>
    <w:rsid w:val="000213A0"/>
    <w:rsid w:val="000246F9"/>
    <w:rsid w:val="00024C04"/>
    <w:rsid w:val="0003065F"/>
    <w:rsid w:val="00030D4F"/>
    <w:rsid w:val="000505AF"/>
    <w:rsid w:val="00060359"/>
    <w:rsid w:val="00061D99"/>
    <w:rsid w:val="00063D0F"/>
    <w:rsid w:val="00064617"/>
    <w:rsid w:val="00067187"/>
    <w:rsid w:val="00070CD3"/>
    <w:rsid w:val="0007152B"/>
    <w:rsid w:val="00077FA5"/>
    <w:rsid w:val="00080193"/>
    <w:rsid w:val="00084C61"/>
    <w:rsid w:val="00085DD2"/>
    <w:rsid w:val="000903A8"/>
    <w:rsid w:val="00092300"/>
    <w:rsid w:val="00093359"/>
    <w:rsid w:val="000941C1"/>
    <w:rsid w:val="00094E75"/>
    <w:rsid w:val="000A238E"/>
    <w:rsid w:val="000A29DA"/>
    <w:rsid w:val="000A2B6D"/>
    <w:rsid w:val="000C1B5A"/>
    <w:rsid w:val="000C5487"/>
    <w:rsid w:val="000D24D9"/>
    <w:rsid w:val="000E04EA"/>
    <w:rsid w:val="000E12C5"/>
    <w:rsid w:val="000E3C19"/>
    <w:rsid w:val="000F4B44"/>
    <w:rsid w:val="000F75C6"/>
    <w:rsid w:val="00105AE3"/>
    <w:rsid w:val="0011170C"/>
    <w:rsid w:val="00113924"/>
    <w:rsid w:val="00123BB7"/>
    <w:rsid w:val="00124146"/>
    <w:rsid w:val="00124364"/>
    <w:rsid w:val="00126369"/>
    <w:rsid w:val="001316CF"/>
    <w:rsid w:val="0013683F"/>
    <w:rsid w:val="00140A26"/>
    <w:rsid w:val="00140A31"/>
    <w:rsid w:val="00142619"/>
    <w:rsid w:val="00144254"/>
    <w:rsid w:val="00153DB5"/>
    <w:rsid w:val="00156789"/>
    <w:rsid w:val="0016096D"/>
    <w:rsid w:val="00171C7A"/>
    <w:rsid w:val="00176FF2"/>
    <w:rsid w:val="00181112"/>
    <w:rsid w:val="00181C27"/>
    <w:rsid w:val="001866EF"/>
    <w:rsid w:val="00193CB6"/>
    <w:rsid w:val="00197514"/>
    <w:rsid w:val="001A31F5"/>
    <w:rsid w:val="001A5E53"/>
    <w:rsid w:val="001C57AE"/>
    <w:rsid w:val="001C6FC3"/>
    <w:rsid w:val="001E2FA5"/>
    <w:rsid w:val="001E5B0B"/>
    <w:rsid w:val="001E6A40"/>
    <w:rsid w:val="001F3E3C"/>
    <w:rsid w:val="001F7CC9"/>
    <w:rsid w:val="0020058B"/>
    <w:rsid w:val="00201D00"/>
    <w:rsid w:val="002050D8"/>
    <w:rsid w:val="002065B0"/>
    <w:rsid w:val="00213942"/>
    <w:rsid w:val="002151F5"/>
    <w:rsid w:val="00224257"/>
    <w:rsid w:val="0022738F"/>
    <w:rsid w:val="00232FB6"/>
    <w:rsid w:val="00236378"/>
    <w:rsid w:val="00241477"/>
    <w:rsid w:val="0024166B"/>
    <w:rsid w:val="00242F17"/>
    <w:rsid w:val="00243453"/>
    <w:rsid w:val="00243D08"/>
    <w:rsid w:val="002470E8"/>
    <w:rsid w:val="00253ADD"/>
    <w:rsid w:val="002549D3"/>
    <w:rsid w:val="00257B25"/>
    <w:rsid w:val="00261D6D"/>
    <w:rsid w:val="00265793"/>
    <w:rsid w:val="0027180F"/>
    <w:rsid w:val="00280761"/>
    <w:rsid w:val="00286EE9"/>
    <w:rsid w:val="002918E5"/>
    <w:rsid w:val="00293C73"/>
    <w:rsid w:val="00293D42"/>
    <w:rsid w:val="0029661D"/>
    <w:rsid w:val="002A013B"/>
    <w:rsid w:val="002A6E15"/>
    <w:rsid w:val="002B2BD9"/>
    <w:rsid w:val="002C56F2"/>
    <w:rsid w:val="002C632A"/>
    <w:rsid w:val="002C788C"/>
    <w:rsid w:val="002D7335"/>
    <w:rsid w:val="002E351E"/>
    <w:rsid w:val="002E6F4B"/>
    <w:rsid w:val="002F1355"/>
    <w:rsid w:val="002F4196"/>
    <w:rsid w:val="002F6CB9"/>
    <w:rsid w:val="003074F1"/>
    <w:rsid w:val="00307E69"/>
    <w:rsid w:val="003155FF"/>
    <w:rsid w:val="003157DF"/>
    <w:rsid w:val="0032465D"/>
    <w:rsid w:val="00332502"/>
    <w:rsid w:val="00334DD0"/>
    <w:rsid w:val="00342CA7"/>
    <w:rsid w:val="00352535"/>
    <w:rsid w:val="00356150"/>
    <w:rsid w:val="003714AE"/>
    <w:rsid w:val="00371A9D"/>
    <w:rsid w:val="00374993"/>
    <w:rsid w:val="00383940"/>
    <w:rsid w:val="00385D30"/>
    <w:rsid w:val="003970E7"/>
    <w:rsid w:val="00397181"/>
    <w:rsid w:val="003A3BB6"/>
    <w:rsid w:val="003A40D4"/>
    <w:rsid w:val="003A7F35"/>
    <w:rsid w:val="003B239C"/>
    <w:rsid w:val="003B39A6"/>
    <w:rsid w:val="003C120F"/>
    <w:rsid w:val="003C203A"/>
    <w:rsid w:val="003C39B7"/>
    <w:rsid w:val="003C5621"/>
    <w:rsid w:val="003C699B"/>
    <w:rsid w:val="003E2DD3"/>
    <w:rsid w:val="003E614C"/>
    <w:rsid w:val="003E6FBB"/>
    <w:rsid w:val="003F35BD"/>
    <w:rsid w:val="003F4CBD"/>
    <w:rsid w:val="00400756"/>
    <w:rsid w:val="00414A15"/>
    <w:rsid w:val="004352C2"/>
    <w:rsid w:val="00435932"/>
    <w:rsid w:val="004371B7"/>
    <w:rsid w:val="004452E7"/>
    <w:rsid w:val="00470CBD"/>
    <w:rsid w:val="0048017F"/>
    <w:rsid w:val="00481A9B"/>
    <w:rsid w:val="00484388"/>
    <w:rsid w:val="00484941"/>
    <w:rsid w:val="004A183E"/>
    <w:rsid w:val="004A4BFB"/>
    <w:rsid w:val="004A6003"/>
    <w:rsid w:val="004A6D08"/>
    <w:rsid w:val="004B22BD"/>
    <w:rsid w:val="004B5F02"/>
    <w:rsid w:val="004C2770"/>
    <w:rsid w:val="004C3FD3"/>
    <w:rsid w:val="004C7F6D"/>
    <w:rsid w:val="004D1F3F"/>
    <w:rsid w:val="004D2DBC"/>
    <w:rsid w:val="004D6AA7"/>
    <w:rsid w:val="004E1671"/>
    <w:rsid w:val="004E6ECE"/>
    <w:rsid w:val="004F0AF1"/>
    <w:rsid w:val="005005C1"/>
    <w:rsid w:val="00505179"/>
    <w:rsid w:val="0051315F"/>
    <w:rsid w:val="00531D58"/>
    <w:rsid w:val="00531DF0"/>
    <w:rsid w:val="00540757"/>
    <w:rsid w:val="00540FD9"/>
    <w:rsid w:val="00554E23"/>
    <w:rsid w:val="00556FA1"/>
    <w:rsid w:val="00563AE7"/>
    <w:rsid w:val="00564FDE"/>
    <w:rsid w:val="0057110D"/>
    <w:rsid w:val="00576B77"/>
    <w:rsid w:val="00580015"/>
    <w:rsid w:val="0058068D"/>
    <w:rsid w:val="005823E6"/>
    <w:rsid w:val="0059286F"/>
    <w:rsid w:val="00595775"/>
    <w:rsid w:val="00595FA2"/>
    <w:rsid w:val="005972DD"/>
    <w:rsid w:val="00597555"/>
    <w:rsid w:val="005B1ED5"/>
    <w:rsid w:val="005C6F28"/>
    <w:rsid w:val="005C77F1"/>
    <w:rsid w:val="005D1294"/>
    <w:rsid w:val="005D296F"/>
    <w:rsid w:val="005E583B"/>
    <w:rsid w:val="005E6F66"/>
    <w:rsid w:val="005F2D4E"/>
    <w:rsid w:val="00600520"/>
    <w:rsid w:val="00600BEF"/>
    <w:rsid w:val="00606292"/>
    <w:rsid w:val="00606BBC"/>
    <w:rsid w:val="0060731D"/>
    <w:rsid w:val="006207D9"/>
    <w:rsid w:val="00626F5B"/>
    <w:rsid w:val="006332E5"/>
    <w:rsid w:val="006379F1"/>
    <w:rsid w:val="00643FE4"/>
    <w:rsid w:val="00646FBE"/>
    <w:rsid w:val="00650185"/>
    <w:rsid w:val="006600A6"/>
    <w:rsid w:val="00662B59"/>
    <w:rsid w:val="006666E3"/>
    <w:rsid w:val="006826C6"/>
    <w:rsid w:val="00683EAC"/>
    <w:rsid w:val="00685956"/>
    <w:rsid w:val="0069403B"/>
    <w:rsid w:val="006972F3"/>
    <w:rsid w:val="006C1593"/>
    <w:rsid w:val="006C4D85"/>
    <w:rsid w:val="006C5A90"/>
    <w:rsid w:val="006D147C"/>
    <w:rsid w:val="006D609C"/>
    <w:rsid w:val="006D6D92"/>
    <w:rsid w:val="006E3CAC"/>
    <w:rsid w:val="006F1D4C"/>
    <w:rsid w:val="006F6792"/>
    <w:rsid w:val="006F79FC"/>
    <w:rsid w:val="00700288"/>
    <w:rsid w:val="007023AE"/>
    <w:rsid w:val="00706F6B"/>
    <w:rsid w:val="007073B4"/>
    <w:rsid w:val="00712451"/>
    <w:rsid w:val="00712F20"/>
    <w:rsid w:val="00716D00"/>
    <w:rsid w:val="007178D8"/>
    <w:rsid w:val="007356F7"/>
    <w:rsid w:val="00737E71"/>
    <w:rsid w:val="00750B54"/>
    <w:rsid w:val="007544CA"/>
    <w:rsid w:val="00755B00"/>
    <w:rsid w:val="00757265"/>
    <w:rsid w:val="00760ED9"/>
    <w:rsid w:val="00761C5F"/>
    <w:rsid w:val="00772AAC"/>
    <w:rsid w:val="00773A8E"/>
    <w:rsid w:val="00775497"/>
    <w:rsid w:val="00775CB4"/>
    <w:rsid w:val="00780A5C"/>
    <w:rsid w:val="0079319D"/>
    <w:rsid w:val="007939D8"/>
    <w:rsid w:val="007A304C"/>
    <w:rsid w:val="007C1E5E"/>
    <w:rsid w:val="007C43D5"/>
    <w:rsid w:val="007C7006"/>
    <w:rsid w:val="007C79CD"/>
    <w:rsid w:val="007D34A8"/>
    <w:rsid w:val="007D3C87"/>
    <w:rsid w:val="007E32D7"/>
    <w:rsid w:val="007E4681"/>
    <w:rsid w:val="007F1627"/>
    <w:rsid w:val="007F2F99"/>
    <w:rsid w:val="00802E9B"/>
    <w:rsid w:val="0080736B"/>
    <w:rsid w:val="00822CC3"/>
    <w:rsid w:val="008413C1"/>
    <w:rsid w:val="00842F45"/>
    <w:rsid w:val="00847F3C"/>
    <w:rsid w:val="008503DD"/>
    <w:rsid w:val="008568DF"/>
    <w:rsid w:val="00856B2D"/>
    <w:rsid w:val="00860A8D"/>
    <w:rsid w:val="0086341C"/>
    <w:rsid w:val="008667AE"/>
    <w:rsid w:val="00874F65"/>
    <w:rsid w:val="00881612"/>
    <w:rsid w:val="00891EC3"/>
    <w:rsid w:val="00893AEA"/>
    <w:rsid w:val="00897094"/>
    <w:rsid w:val="00897900"/>
    <w:rsid w:val="008A56CD"/>
    <w:rsid w:val="008B42EA"/>
    <w:rsid w:val="008C0C18"/>
    <w:rsid w:val="008C6792"/>
    <w:rsid w:val="008D6D2A"/>
    <w:rsid w:val="008E02A6"/>
    <w:rsid w:val="008F3290"/>
    <w:rsid w:val="008F341E"/>
    <w:rsid w:val="008F4775"/>
    <w:rsid w:val="008F50BD"/>
    <w:rsid w:val="008F6367"/>
    <w:rsid w:val="009026C0"/>
    <w:rsid w:val="00905DA1"/>
    <w:rsid w:val="00907CD5"/>
    <w:rsid w:val="009149B0"/>
    <w:rsid w:val="00914EEC"/>
    <w:rsid w:val="00915DC1"/>
    <w:rsid w:val="00915E34"/>
    <w:rsid w:val="0091652E"/>
    <w:rsid w:val="0092342A"/>
    <w:rsid w:val="00931757"/>
    <w:rsid w:val="00932328"/>
    <w:rsid w:val="009352DE"/>
    <w:rsid w:val="009356BB"/>
    <w:rsid w:val="009371F8"/>
    <w:rsid w:val="0094094B"/>
    <w:rsid w:val="00940DE6"/>
    <w:rsid w:val="00942D05"/>
    <w:rsid w:val="009452C4"/>
    <w:rsid w:val="00954B35"/>
    <w:rsid w:val="00957116"/>
    <w:rsid w:val="00966D13"/>
    <w:rsid w:val="009709A4"/>
    <w:rsid w:val="00971606"/>
    <w:rsid w:val="009726B6"/>
    <w:rsid w:val="00981477"/>
    <w:rsid w:val="00982BEA"/>
    <w:rsid w:val="00995D95"/>
    <w:rsid w:val="00996593"/>
    <w:rsid w:val="009A1629"/>
    <w:rsid w:val="009B7C06"/>
    <w:rsid w:val="009C4EED"/>
    <w:rsid w:val="009C5DD4"/>
    <w:rsid w:val="009D1904"/>
    <w:rsid w:val="009D4986"/>
    <w:rsid w:val="009D532D"/>
    <w:rsid w:val="009D5F20"/>
    <w:rsid w:val="009E049F"/>
    <w:rsid w:val="009E0907"/>
    <w:rsid w:val="009E53E5"/>
    <w:rsid w:val="009E58D4"/>
    <w:rsid w:val="009E5C09"/>
    <w:rsid w:val="009E6E0D"/>
    <w:rsid w:val="009F034A"/>
    <w:rsid w:val="009F3A97"/>
    <w:rsid w:val="009F3BD2"/>
    <w:rsid w:val="009F3FD1"/>
    <w:rsid w:val="009F595F"/>
    <w:rsid w:val="009F70B9"/>
    <w:rsid w:val="00A039BA"/>
    <w:rsid w:val="00A04124"/>
    <w:rsid w:val="00A04D0E"/>
    <w:rsid w:val="00A065A2"/>
    <w:rsid w:val="00A203CA"/>
    <w:rsid w:val="00A20852"/>
    <w:rsid w:val="00A253E9"/>
    <w:rsid w:val="00A310EB"/>
    <w:rsid w:val="00A40814"/>
    <w:rsid w:val="00A47E63"/>
    <w:rsid w:val="00A55B8A"/>
    <w:rsid w:val="00A616F7"/>
    <w:rsid w:val="00A704BC"/>
    <w:rsid w:val="00A7439E"/>
    <w:rsid w:val="00A74656"/>
    <w:rsid w:val="00A85ACB"/>
    <w:rsid w:val="00A952DE"/>
    <w:rsid w:val="00AA3A87"/>
    <w:rsid w:val="00AB10ED"/>
    <w:rsid w:val="00AB76BC"/>
    <w:rsid w:val="00AC0B61"/>
    <w:rsid w:val="00AC1857"/>
    <w:rsid w:val="00AC1B39"/>
    <w:rsid w:val="00AD1EE6"/>
    <w:rsid w:val="00AD2650"/>
    <w:rsid w:val="00AD6B72"/>
    <w:rsid w:val="00AE2881"/>
    <w:rsid w:val="00AF5892"/>
    <w:rsid w:val="00AF6A07"/>
    <w:rsid w:val="00B11FA5"/>
    <w:rsid w:val="00B21065"/>
    <w:rsid w:val="00B227C1"/>
    <w:rsid w:val="00B259DE"/>
    <w:rsid w:val="00B33954"/>
    <w:rsid w:val="00B372AB"/>
    <w:rsid w:val="00B418B4"/>
    <w:rsid w:val="00B4618B"/>
    <w:rsid w:val="00B52D6F"/>
    <w:rsid w:val="00B5309F"/>
    <w:rsid w:val="00B53583"/>
    <w:rsid w:val="00B545F7"/>
    <w:rsid w:val="00B548D1"/>
    <w:rsid w:val="00B55B90"/>
    <w:rsid w:val="00B56A1C"/>
    <w:rsid w:val="00B56DDB"/>
    <w:rsid w:val="00B6395E"/>
    <w:rsid w:val="00B64CDB"/>
    <w:rsid w:val="00B6662E"/>
    <w:rsid w:val="00B6736E"/>
    <w:rsid w:val="00B75CAC"/>
    <w:rsid w:val="00B81648"/>
    <w:rsid w:val="00B8319E"/>
    <w:rsid w:val="00B83836"/>
    <w:rsid w:val="00B93F0F"/>
    <w:rsid w:val="00B94ED8"/>
    <w:rsid w:val="00BB6132"/>
    <w:rsid w:val="00BB6D7B"/>
    <w:rsid w:val="00BC47AA"/>
    <w:rsid w:val="00BC5E61"/>
    <w:rsid w:val="00BD0E59"/>
    <w:rsid w:val="00BD4DC2"/>
    <w:rsid w:val="00BE49F5"/>
    <w:rsid w:val="00BE55CE"/>
    <w:rsid w:val="00BF0E13"/>
    <w:rsid w:val="00BF31A6"/>
    <w:rsid w:val="00BF3D00"/>
    <w:rsid w:val="00BF6A30"/>
    <w:rsid w:val="00BF6AAF"/>
    <w:rsid w:val="00C00C7A"/>
    <w:rsid w:val="00C03453"/>
    <w:rsid w:val="00C1546E"/>
    <w:rsid w:val="00C155B1"/>
    <w:rsid w:val="00C24D1C"/>
    <w:rsid w:val="00C24E4B"/>
    <w:rsid w:val="00C30C12"/>
    <w:rsid w:val="00C3562E"/>
    <w:rsid w:val="00C42009"/>
    <w:rsid w:val="00C4300A"/>
    <w:rsid w:val="00C51E79"/>
    <w:rsid w:val="00C53E36"/>
    <w:rsid w:val="00C55945"/>
    <w:rsid w:val="00C57FE2"/>
    <w:rsid w:val="00C71A3D"/>
    <w:rsid w:val="00C76858"/>
    <w:rsid w:val="00C85137"/>
    <w:rsid w:val="00C972E0"/>
    <w:rsid w:val="00C973D9"/>
    <w:rsid w:val="00CA132A"/>
    <w:rsid w:val="00CA188E"/>
    <w:rsid w:val="00CA52B8"/>
    <w:rsid w:val="00CB3923"/>
    <w:rsid w:val="00CB3C19"/>
    <w:rsid w:val="00CC4A37"/>
    <w:rsid w:val="00CC7299"/>
    <w:rsid w:val="00CD3F1E"/>
    <w:rsid w:val="00CD69D6"/>
    <w:rsid w:val="00CE071C"/>
    <w:rsid w:val="00CF61D6"/>
    <w:rsid w:val="00D011BD"/>
    <w:rsid w:val="00D2792A"/>
    <w:rsid w:val="00D43F91"/>
    <w:rsid w:val="00D4784E"/>
    <w:rsid w:val="00D630C8"/>
    <w:rsid w:val="00D63B09"/>
    <w:rsid w:val="00D74CAE"/>
    <w:rsid w:val="00D7564E"/>
    <w:rsid w:val="00D80BA1"/>
    <w:rsid w:val="00D826CB"/>
    <w:rsid w:val="00D863FA"/>
    <w:rsid w:val="00D869FD"/>
    <w:rsid w:val="00D95E5E"/>
    <w:rsid w:val="00DA1929"/>
    <w:rsid w:val="00DC136E"/>
    <w:rsid w:val="00DC2637"/>
    <w:rsid w:val="00DC6F55"/>
    <w:rsid w:val="00DC7C4C"/>
    <w:rsid w:val="00DD5F11"/>
    <w:rsid w:val="00DD6E4D"/>
    <w:rsid w:val="00DD6E62"/>
    <w:rsid w:val="00DD7489"/>
    <w:rsid w:val="00E04AC4"/>
    <w:rsid w:val="00E105B4"/>
    <w:rsid w:val="00E1217E"/>
    <w:rsid w:val="00E14795"/>
    <w:rsid w:val="00E15513"/>
    <w:rsid w:val="00E16E85"/>
    <w:rsid w:val="00E1756D"/>
    <w:rsid w:val="00E20CD8"/>
    <w:rsid w:val="00E24CBD"/>
    <w:rsid w:val="00E261C4"/>
    <w:rsid w:val="00E30B41"/>
    <w:rsid w:val="00E41DC3"/>
    <w:rsid w:val="00E46091"/>
    <w:rsid w:val="00E56EDC"/>
    <w:rsid w:val="00E66573"/>
    <w:rsid w:val="00E676C0"/>
    <w:rsid w:val="00E772F3"/>
    <w:rsid w:val="00E82455"/>
    <w:rsid w:val="00E92497"/>
    <w:rsid w:val="00E95ABE"/>
    <w:rsid w:val="00E97979"/>
    <w:rsid w:val="00E97D32"/>
    <w:rsid w:val="00E97E6F"/>
    <w:rsid w:val="00EA3EE5"/>
    <w:rsid w:val="00EA5F3D"/>
    <w:rsid w:val="00EA79E0"/>
    <w:rsid w:val="00EB210C"/>
    <w:rsid w:val="00EB3D9C"/>
    <w:rsid w:val="00EB7D57"/>
    <w:rsid w:val="00EC038A"/>
    <w:rsid w:val="00ED3063"/>
    <w:rsid w:val="00ED65BD"/>
    <w:rsid w:val="00EE570B"/>
    <w:rsid w:val="00EE74D2"/>
    <w:rsid w:val="00EF6E65"/>
    <w:rsid w:val="00F01151"/>
    <w:rsid w:val="00F11932"/>
    <w:rsid w:val="00F16F7F"/>
    <w:rsid w:val="00F3252A"/>
    <w:rsid w:val="00F32AF4"/>
    <w:rsid w:val="00F400A9"/>
    <w:rsid w:val="00F452FF"/>
    <w:rsid w:val="00F45BEC"/>
    <w:rsid w:val="00F47B5A"/>
    <w:rsid w:val="00F5416B"/>
    <w:rsid w:val="00F54B79"/>
    <w:rsid w:val="00F5645A"/>
    <w:rsid w:val="00F5765D"/>
    <w:rsid w:val="00F60E9E"/>
    <w:rsid w:val="00F6758D"/>
    <w:rsid w:val="00F763A5"/>
    <w:rsid w:val="00F8005B"/>
    <w:rsid w:val="00F816AE"/>
    <w:rsid w:val="00FA2676"/>
    <w:rsid w:val="00FA332E"/>
    <w:rsid w:val="00FA745D"/>
    <w:rsid w:val="00FA7F52"/>
    <w:rsid w:val="00FB2220"/>
    <w:rsid w:val="00FB7CE9"/>
    <w:rsid w:val="00FC1A65"/>
    <w:rsid w:val="00FC3D5E"/>
    <w:rsid w:val="00FC4E49"/>
    <w:rsid w:val="00FE3D1F"/>
    <w:rsid w:val="00FE5786"/>
    <w:rsid w:val="00FF1121"/>
    <w:rsid w:val="00FF4F89"/>
    <w:rsid w:val="00FF7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9DA0E"/>
  <w15:docId w15:val="{A30E075B-AA61-4144-BE83-D8CEDB55C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61C4"/>
    <w:pPr>
      <w:ind w:left="720"/>
      <w:contextualSpacing/>
    </w:pPr>
    <w:rPr>
      <w:lang w:val="en-SG"/>
    </w:rPr>
  </w:style>
  <w:style w:type="paragraph" w:styleId="Header">
    <w:name w:val="header"/>
    <w:basedOn w:val="Normal"/>
    <w:link w:val="HeaderChar"/>
    <w:uiPriority w:val="99"/>
    <w:unhideWhenUsed/>
    <w:rsid w:val="000933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359"/>
  </w:style>
  <w:style w:type="paragraph" w:styleId="Footer">
    <w:name w:val="footer"/>
    <w:basedOn w:val="Normal"/>
    <w:link w:val="FooterChar"/>
    <w:uiPriority w:val="99"/>
    <w:unhideWhenUsed/>
    <w:rsid w:val="000933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359"/>
  </w:style>
  <w:style w:type="paragraph" w:styleId="BalloonText">
    <w:name w:val="Balloon Text"/>
    <w:basedOn w:val="Normal"/>
    <w:link w:val="BalloonTextChar"/>
    <w:uiPriority w:val="99"/>
    <w:semiHidden/>
    <w:unhideWhenUsed/>
    <w:rsid w:val="007F2F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F99"/>
    <w:rPr>
      <w:rFonts w:ascii="Segoe UI" w:hAnsi="Segoe UI" w:cs="Segoe UI"/>
      <w:sz w:val="18"/>
      <w:szCs w:val="18"/>
    </w:rPr>
  </w:style>
  <w:style w:type="paragraph" w:styleId="Title">
    <w:name w:val="Title"/>
    <w:basedOn w:val="Normal"/>
    <w:link w:val="TitleChar"/>
    <w:uiPriority w:val="99"/>
    <w:qFormat/>
    <w:rsid w:val="00EE74D2"/>
    <w:pPr>
      <w:spacing w:before="120" w:after="0" w:line="240" w:lineRule="auto"/>
      <w:jc w:val="center"/>
    </w:pPr>
    <w:rPr>
      <w:rFonts w:ascii=".VnTimeH" w:eastAsia="Times New Roman" w:hAnsi=".VnTimeH" w:cs="Times New Roman"/>
      <w:b/>
      <w:bCs/>
      <w:noProof/>
      <w:sz w:val="28"/>
      <w:szCs w:val="24"/>
    </w:rPr>
  </w:style>
  <w:style w:type="character" w:customStyle="1" w:styleId="TitleChar">
    <w:name w:val="Title Char"/>
    <w:basedOn w:val="DefaultParagraphFont"/>
    <w:link w:val="Title"/>
    <w:uiPriority w:val="99"/>
    <w:rsid w:val="00EE74D2"/>
    <w:rPr>
      <w:rFonts w:ascii=".VnTimeH" w:eastAsia="Times New Roman" w:hAnsi=".VnTimeH" w:cs="Times New Roman"/>
      <w:b/>
      <w:bCs/>
      <w:noProof/>
      <w:sz w:val="28"/>
      <w:szCs w:val="24"/>
    </w:rPr>
  </w:style>
  <w:style w:type="table" w:styleId="TableGrid">
    <w:name w:val="Table Grid"/>
    <w:basedOn w:val="TableNormal"/>
    <w:uiPriority w:val="39"/>
    <w:rsid w:val="00540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D3C87"/>
    <w:pPr>
      <w:spacing w:after="0" w:line="240" w:lineRule="auto"/>
    </w:pPr>
  </w:style>
  <w:style w:type="character" w:styleId="Hyperlink">
    <w:name w:val="Hyperlink"/>
    <w:basedOn w:val="DefaultParagraphFont"/>
    <w:uiPriority w:val="99"/>
    <w:unhideWhenUsed/>
    <w:rsid w:val="000E3C19"/>
    <w:rPr>
      <w:color w:val="0563C1" w:themeColor="hyperlink"/>
      <w:u w:val="single"/>
    </w:rPr>
  </w:style>
  <w:style w:type="character" w:customStyle="1" w:styleId="card-send-timesendtime">
    <w:name w:val="card-send-time__sendtime"/>
    <w:basedOn w:val="DefaultParagraphFont"/>
    <w:rsid w:val="007E32D7"/>
  </w:style>
  <w:style w:type="character" w:styleId="UnresolvedMention">
    <w:name w:val="Unresolved Mention"/>
    <w:basedOn w:val="DefaultParagraphFont"/>
    <w:uiPriority w:val="99"/>
    <w:semiHidden/>
    <w:unhideWhenUsed/>
    <w:rsid w:val="007E32D7"/>
    <w:rPr>
      <w:color w:val="605E5C"/>
      <w:shd w:val="clear" w:color="auto" w:fill="E1DFDD"/>
    </w:rPr>
  </w:style>
  <w:style w:type="character" w:styleId="FollowedHyperlink">
    <w:name w:val="FollowedHyperlink"/>
    <w:basedOn w:val="DefaultParagraphFont"/>
    <w:uiPriority w:val="99"/>
    <w:semiHidden/>
    <w:unhideWhenUsed/>
    <w:rsid w:val="007E32D7"/>
    <w:rPr>
      <w:color w:val="954F72" w:themeColor="followedHyperlink"/>
      <w:u w:val="single"/>
    </w:rPr>
  </w:style>
  <w:style w:type="character" w:styleId="Strong">
    <w:name w:val="Strong"/>
    <w:basedOn w:val="DefaultParagraphFont"/>
    <w:uiPriority w:val="22"/>
    <w:qFormat/>
    <w:rsid w:val="005E6F66"/>
    <w:rPr>
      <w:b/>
      <w:bCs/>
    </w:rPr>
  </w:style>
  <w:style w:type="paragraph" w:styleId="FootnoteText">
    <w:name w:val="footnote text"/>
    <w:basedOn w:val="Normal"/>
    <w:link w:val="FootnoteTextChar"/>
    <w:uiPriority w:val="99"/>
    <w:semiHidden/>
    <w:unhideWhenUsed/>
    <w:rsid w:val="006F1D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1D4C"/>
    <w:rPr>
      <w:sz w:val="20"/>
      <w:szCs w:val="20"/>
    </w:rPr>
  </w:style>
  <w:style w:type="character" w:styleId="FootnoteReference">
    <w:name w:val="footnote reference"/>
    <w:aliases w:val="Footnote"/>
    <w:uiPriority w:val="99"/>
    <w:rsid w:val="006F1D4C"/>
    <w:rPr>
      <w:vertAlign w:val="superscript"/>
    </w:rPr>
  </w:style>
  <w:style w:type="paragraph" w:styleId="NormalWeb">
    <w:name w:val="Normal (Web)"/>
    <w:basedOn w:val="Normal"/>
    <w:uiPriority w:val="99"/>
    <w:semiHidden/>
    <w:unhideWhenUsed/>
    <w:rsid w:val="007178D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602516">
      <w:bodyDiv w:val="1"/>
      <w:marLeft w:val="0"/>
      <w:marRight w:val="0"/>
      <w:marTop w:val="0"/>
      <w:marBottom w:val="0"/>
      <w:divBdr>
        <w:top w:val="none" w:sz="0" w:space="0" w:color="auto"/>
        <w:left w:val="none" w:sz="0" w:space="0" w:color="auto"/>
        <w:bottom w:val="none" w:sz="0" w:space="0" w:color="auto"/>
        <w:right w:val="none" w:sz="0" w:space="0" w:color="auto"/>
      </w:divBdr>
    </w:div>
    <w:div w:id="579022571">
      <w:bodyDiv w:val="1"/>
      <w:marLeft w:val="0"/>
      <w:marRight w:val="0"/>
      <w:marTop w:val="0"/>
      <w:marBottom w:val="0"/>
      <w:divBdr>
        <w:top w:val="none" w:sz="0" w:space="0" w:color="auto"/>
        <w:left w:val="none" w:sz="0" w:space="0" w:color="auto"/>
        <w:bottom w:val="none" w:sz="0" w:space="0" w:color="auto"/>
        <w:right w:val="none" w:sz="0" w:space="0" w:color="auto"/>
      </w:divBdr>
    </w:div>
    <w:div w:id="661003151">
      <w:bodyDiv w:val="1"/>
      <w:marLeft w:val="0"/>
      <w:marRight w:val="0"/>
      <w:marTop w:val="0"/>
      <w:marBottom w:val="0"/>
      <w:divBdr>
        <w:top w:val="none" w:sz="0" w:space="0" w:color="auto"/>
        <w:left w:val="none" w:sz="0" w:space="0" w:color="auto"/>
        <w:bottom w:val="none" w:sz="0" w:space="0" w:color="auto"/>
        <w:right w:val="none" w:sz="0" w:space="0" w:color="auto"/>
      </w:divBdr>
    </w:div>
    <w:div w:id="705105035">
      <w:bodyDiv w:val="1"/>
      <w:marLeft w:val="0"/>
      <w:marRight w:val="0"/>
      <w:marTop w:val="0"/>
      <w:marBottom w:val="0"/>
      <w:divBdr>
        <w:top w:val="none" w:sz="0" w:space="0" w:color="auto"/>
        <w:left w:val="none" w:sz="0" w:space="0" w:color="auto"/>
        <w:bottom w:val="none" w:sz="0" w:space="0" w:color="auto"/>
        <w:right w:val="none" w:sz="0" w:space="0" w:color="auto"/>
      </w:divBdr>
    </w:div>
    <w:div w:id="727846379">
      <w:bodyDiv w:val="1"/>
      <w:marLeft w:val="0"/>
      <w:marRight w:val="0"/>
      <w:marTop w:val="0"/>
      <w:marBottom w:val="0"/>
      <w:divBdr>
        <w:top w:val="none" w:sz="0" w:space="0" w:color="auto"/>
        <w:left w:val="none" w:sz="0" w:space="0" w:color="auto"/>
        <w:bottom w:val="none" w:sz="0" w:space="0" w:color="auto"/>
        <w:right w:val="none" w:sz="0" w:space="0" w:color="auto"/>
      </w:divBdr>
    </w:div>
    <w:div w:id="916940187">
      <w:bodyDiv w:val="1"/>
      <w:marLeft w:val="0"/>
      <w:marRight w:val="0"/>
      <w:marTop w:val="0"/>
      <w:marBottom w:val="0"/>
      <w:divBdr>
        <w:top w:val="none" w:sz="0" w:space="0" w:color="auto"/>
        <w:left w:val="none" w:sz="0" w:space="0" w:color="auto"/>
        <w:bottom w:val="none" w:sz="0" w:space="0" w:color="auto"/>
        <w:right w:val="none" w:sz="0" w:space="0" w:color="auto"/>
      </w:divBdr>
      <w:divsChild>
        <w:div w:id="1012269386">
          <w:marLeft w:val="0"/>
          <w:marRight w:val="0"/>
          <w:marTop w:val="0"/>
          <w:marBottom w:val="0"/>
          <w:divBdr>
            <w:top w:val="none" w:sz="0" w:space="0" w:color="auto"/>
            <w:left w:val="none" w:sz="0" w:space="0" w:color="auto"/>
            <w:bottom w:val="none" w:sz="0" w:space="0" w:color="auto"/>
            <w:right w:val="none" w:sz="0" w:space="0" w:color="auto"/>
          </w:divBdr>
          <w:divsChild>
            <w:div w:id="1105997138">
              <w:marLeft w:val="0"/>
              <w:marRight w:val="0"/>
              <w:marTop w:val="0"/>
              <w:marBottom w:val="0"/>
              <w:divBdr>
                <w:top w:val="none" w:sz="0" w:space="0" w:color="auto"/>
                <w:left w:val="none" w:sz="0" w:space="0" w:color="auto"/>
                <w:bottom w:val="none" w:sz="0" w:space="0" w:color="auto"/>
                <w:right w:val="none" w:sz="0" w:space="0" w:color="auto"/>
              </w:divBdr>
              <w:divsChild>
                <w:div w:id="1786996461">
                  <w:marLeft w:val="0"/>
                  <w:marRight w:val="-105"/>
                  <w:marTop w:val="0"/>
                  <w:marBottom w:val="0"/>
                  <w:divBdr>
                    <w:top w:val="none" w:sz="0" w:space="0" w:color="auto"/>
                    <w:left w:val="none" w:sz="0" w:space="0" w:color="auto"/>
                    <w:bottom w:val="none" w:sz="0" w:space="0" w:color="auto"/>
                    <w:right w:val="none" w:sz="0" w:space="0" w:color="auto"/>
                  </w:divBdr>
                  <w:divsChild>
                    <w:div w:id="1379359670">
                      <w:marLeft w:val="0"/>
                      <w:marRight w:val="0"/>
                      <w:marTop w:val="0"/>
                      <w:marBottom w:val="420"/>
                      <w:divBdr>
                        <w:top w:val="none" w:sz="0" w:space="0" w:color="auto"/>
                        <w:left w:val="none" w:sz="0" w:space="0" w:color="auto"/>
                        <w:bottom w:val="none" w:sz="0" w:space="0" w:color="auto"/>
                        <w:right w:val="none" w:sz="0" w:space="0" w:color="auto"/>
                      </w:divBdr>
                      <w:divsChild>
                        <w:div w:id="1775710297">
                          <w:marLeft w:val="240"/>
                          <w:marRight w:val="240"/>
                          <w:marTop w:val="0"/>
                          <w:marBottom w:val="165"/>
                          <w:divBdr>
                            <w:top w:val="none" w:sz="0" w:space="0" w:color="auto"/>
                            <w:left w:val="none" w:sz="0" w:space="0" w:color="auto"/>
                            <w:bottom w:val="none" w:sz="0" w:space="0" w:color="auto"/>
                            <w:right w:val="none" w:sz="0" w:space="0" w:color="auto"/>
                          </w:divBdr>
                          <w:divsChild>
                            <w:div w:id="1532107494">
                              <w:marLeft w:val="150"/>
                              <w:marRight w:val="0"/>
                              <w:marTop w:val="0"/>
                              <w:marBottom w:val="0"/>
                              <w:divBdr>
                                <w:top w:val="none" w:sz="0" w:space="0" w:color="auto"/>
                                <w:left w:val="none" w:sz="0" w:space="0" w:color="auto"/>
                                <w:bottom w:val="none" w:sz="0" w:space="0" w:color="auto"/>
                                <w:right w:val="none" w:sz="0" w:space="0" w:color="auto"/>
                              </w:divBdr>
                              <w:divsChild>
                                <w:div w:id="1364482961">
                                  <w:marLeft w:val="0"/>
                                  <w:marRight w:val="0"/>
                                  <w:marTop w:val="0"/>
                                  <w:marBottom w:val="0"/>
                                  <w:divBdr>
                                    <w:top w:val="none" w:sz="0" w:space="0" w:color="auto"/>
                                    <w:left w:val="none" w:sz="0" w:space="0" w:color="auto"/>
                                    <w:bottom w:val="none" w:sz="0" w:space="0" w:color="auto"/>
                                    <w:right w:val="none" w:sz="0" w:space="0" w:color="auto"/>
                                  </w:divBdr>
                                  <w:divsChild>
                                    <w:div w:id="1251550072">
                                      <w:marLeft w:val="0"/>
                                      <w:marRight w:val="0"/>
                                      <w:marTop w:val="0"/>
                                      <w:marBottom w:val="0"/>
                                      <w:divBdr>
                                        <w:top w:val="none" w:sz="0" w:space="0" w:color="auto"/>
                                        <w:left w:val="none" w:sz="0" w:space="0" w:color="auto"/>
                                        <w:bottom w:val="none" w:sz="0" w:space="0" w:color="auto"/>
                                        <w:right w:val="none" w:sz="0" w:space="0" w:color="auto"/>
                                      </w:divBdr>
                                      <w:divsChild>
                                        <w:div w:id="1992640118">
                                          <w:marLeft w:val="0"/>
                                          <w:marRight w:val="0"/>
                                          <w:marTop w:val="0"/>
                                          <w:marBottom w:val="60"/>
                                          <w:divBdr>
                                            <w:top w:val="none" w:sz="0" w:space="0" w:color="auto"/>
                                            <w:left w:val="none" w:sz="0" w:space="0" w:color="auto"/>
                                            <w:bottom w:val="none" w:sz="0" w:space="0" w:color="auto"/>
                                            <w:right w:val="none" w:sz="0" w:space="0" w:color="auto"/>
                                          </w:divBdr>
                                          <w:divsChild>
                                            <w:div w:id="676005975">
                                              <w:marLeft w:val="0"/>
                                              <w:marRight w:val="0"/>
                                              <w:marTop w:val="0"/>
                                              <w:marBottom w:val="0"/>
                                              <w:divBdr>
                                                <w:top w:val="none" w:sz="0" w:space="0" w:color="auto"/>
                                                <w:left w:val="none" w:sz="0" w:space="0" w:color="auto"/>
                                                <w:bottom w:val="none" w:sz="0" w:space="0" w:color="auto"/>
                                                <w:right w:val="none" w:sz="0" w:space="0" w:color="auto"/>
                                              </w:divBdr>
                                            </w:div>
                                            <w:div w:id="212133552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0584118">
      <w:bodyDiv w:val="1"/>
      <w:marLeft w:val="0"/>
      <w:marRight w:val="0"/>
      <w:marTop w:val="0"/>
      <w:marBottom w:val="0"/>
      <w:divBdr>
        <w:top w:val="none" w:sz="0" w:space="0" w:color="auto"/>
        <w:left w:val="none" w:sz="0" w:space="0" w:color="auto"/>
        <w:bottom w:val="none" w:sz="0" w:space="0" w:color="auto"/>
        <w:right w:val="none" w:sz="0" w:space="0" w:color="auto"/>
      </w:divBdr>
    </w:div>
    <w:div w:id="1861580472">
      <w:bodyDiv w:val="1"/>
      <w:marLeft w:val="0"/>
      <w:marRight w:val="0"/>
      <w:marTop w:val="0"/>
      <w:marBottom w:val="0"/>
      <w:divBdr>
        <w:top w:val="none" w:sz="0" w:space="0" w:color="auto"/>
        <w:left w:val="none" w:sz="0" w:space="0" w:color="auto"/>
        <w:bottom w:val="none" w:sz="0" w:space="0" w:color="auto"/>
        <w:right w:val="none" w:sz="0" w:space="0" w:color="auto"/>
      </w:divBdr>
    </w:div>
    <w:div w:id="211153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F1FC2-4401-4508-8B9F-32CB1FC84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10</Pages>
  <Words>3877</Words>
  <Characters>22104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VAN TIEN</dc:creator>
  <cp:keywords/>
  <dc:description/>
  <cp:lastModifiedBy>Lê Văn Mười</cp:lastModifiedBy>
  <cp:revision>231</cp:revision>
  <cp:lastPrinted>2026-01-30T02:09:00Z</cp:lastPrinted>
  <dcterms:created xsi:type="dcterms:W3CDTF">2025-07-16T03:25:00Z</dcterms:created>
  <dcterms:modified xsi:type="dcterms:W3CDTF">2026-03-04T04:41:00Z</dcterms:modified>
</cp:coreProperties>
</file>